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3BA" w:rsidRPr="00C5381A" w:rsidRDefault="0003793C" w:rsidP="001D5BEB">
      <w:pPr>
        <w:pStyle w:val="Default"/>
        <w:jc w:val="center"/>
        <w:rPr>
          <w:b/>
          <w:bCs/>
        </w:rPr>
      </w:pPr>
      <w:r w:rsidRPr="00C5381A">
        <w:rPr>
          <w:b/>
          <w:bCs/>
        </w:rPr>
        <w:t xml:space="preserve"> </w:t>
      </w:r>
      <w:r w:rsidR="00EA23BA" w:rsidRPr="00C5381A">
        <w:rPr>
          <w:b/>
          <w:bCs/>
        </w:rPr>
        <w:t xml:space="preserve">                                                                                     </w:t>
      </w:r>
    </w:p>
    <w:p w:rsidR="001D5BEB" w:rsidRPr="00C5381A" w:rsidRDefault="001D5BEB" w:rsidP="001D5BEB">
      <w:pPr>
        <w:pStyle w:val="Default"/>
        <w:jc w:val="center"/>
        <w:rPr>
          <w:b/>
          <w:bCs/>
        </w:rPr>
      </w:pPr>
      <w:r w:rsidRPr="00C5381A">
        <w:rPr>
          <w:b/>
          <w:bCs/>
        </w:rPr>
        <w:t xml:space="preserve">UCHWAŁA NR </w:t>
      </w:r>
      <w:r w:rsidR="00EA23BA" w:rsidRPr="00C5381A">
        <w:rPr>
          <w:b/>
          <w:bCs/>
        </w:rPr>
        <w:t xml:space="preserve"> </w:t>
      </w:r>
      <w:r w:rsidR="00EB6EAD">
        <w:rPr>
          <w:b/>
          <w:bCs/>
        </w:rPr>
        <w:t>808</w:t>
      </w:r>
      <w:r w:rsidRPr="00C5381A">
        <w:rPr>
          <w:b/>
          <w:bCs/>
        </w:rPr>
        <w:t>/1</w:t>
      </w:r>
      <w:r w:rsidR="00EA23BA" w:rsidRPr="00C5381A">
        <w:rPr>
          <w:b/>
          <w:bCs/>
        </w:rPr>
        <w:t>9</w:t>
      </w:r>
    </w:p>
    <w:p w:rsidR="001D5BEB" w:rsidRPr="00C5381A" w:rsidRDefault="001D5BEB" w:rsidP="001D5BEB">
      <w:pPr>
        <w:pStyle w:val="Default"/>
        <w:jc w:val="center"/>
        <w:rPr>
          <w:b/>
          <w:bCs/>
        </w:rPr>
      </w:pPr>
      <w:r w:rsidRPr="00C5381A">
        <w:rPr>
          <w:b/>
          <w:bCs/>
        </w:rPr>
        <w:t>ZARZĄDU WOJEWÓDZTWA ŚWIĘTOKRZYSKIEGO</w:t>
      </w:r>
    </w:p>
    <w:p w:rsidR="001D5BEB" w:rsidRPr="00C5381A" w:rsidRDefault="001D5BEB" w:rsidP="001D5BEB">
      <w:pPr>
        <w:pStyle w:val="Default"/>
        <w:jc w:val="center"/>
        <w:rPr>
          <w:b/>
          <w:bCs/>
        </w:rPr>
      </w:pPr>
      <w:r w:rsidRPr="00C5381A">
        <w:rPr>
          <w:b/>
          <w:bCs/>
        </w:rPr>
        <w:t>Z DNIA</w:t>
      </w:r>
      <w:r w:rsidR="007D0B42">
        <w:rPr>
          <w:b/>
          <w:bCs/>
        </w:rPr>
        <w:t xml:space="preserve"> 3</w:t>
      </w:r>
      <w:r w:rsidR="00E648BB" w:rsidRPr="00C5381A">
        <w:rPr>
          <w:b/>
          <w:bCs/>
        </w:rPr>
        <w:t xml:space="preserve"> LIPCA</w:t>
      </w:r>
      <w:r w:rsidR="00EA23BA" w:rsidRPr="00C5381A">
        <w:rPr>
          <w:b/>
          <w:bCs/>
        </w:rPr>
        <w:t xml:space="preserve"> 2019</w:t>
      </w:r>
      <w:r w:rsidRPr="00C5381A">
        <w:rPr>
          <w:b/>
          <w:bCs/>
        </w:rPr>
        <w:t xml:space="preserve"> ROKU</w:t>
      </w:r>
    </w:p>
    <w:p w:rsidR="001D5BEB" w:rsidRPr="00C5381A" w:rsidRDefault="001D5BEB" w:rsidP="001D5BEB">
      <w:pPr>
        <w:pStyle w:val="Default"/>
        <w:jc w:val="center"/>
        <w:rPr>
          <w:b/>
          <w:bCs/>
        </w:rPr>
      </w:pPr>
    </w:p>
    <w:p w:rsidR="001D5BEB" w:rsidRPr="00C5381A" w:rsidRDefault="001D5BEB" w:rsidP="00C5381A">
      <w:pPr>
        <w:pStyle w:val="Default"/>
        <w:jc w:val="center"/>
        <w:rPr>
          <w:b/>
          <w:bCs/>
        </w:rPr>
      </w:pPr>
      <w:r w:rsidRPr="00C5381A">
        <w:rPr>
          <w:b/>
          <w:bCs/>
        </w:rPr>
        <w:t>W SPRAWIE</w:t>
      </w:r>
      <w:r w:rsidR="004B454D" w:rsidRPr="00C5381A">
        <w:rPr>
          <w:b/>
          <w:bCs/>
        </w:rPr>
        <w:t>:</w:t>
      </w:r>
      <w:r w:rsidRPr="00C5381A">
        <w:rPr>
          <w:b/>
          <w:bCs/>
        </w:rPr>
        <w:t xml:space="preserve"> </w:t>
      </w:r>
      <w:r w:rsidR="00EA23BA" w:rsidRPr="00C5381A">
        <w:rPr>
          <w:b/>
          <w:bCs/>
        </w:rPr>
        <w:t xml:space="preserve">ZMIANY UCHWAŁY NR 4564/18 ZARZĄDU WOJEWÓDZTWA ŚWIĘTOKRZYSKIEGO Z DNIA 15 LISTOPADA 2018 ROKU </w:t>
      </w:r>
    </w:p>
    <w:p w:rsidR="001D5BEB" w:rsidRPr="00C5381A" w:rsidRDefault="001D5BEB" w:rsidP="001D5BEB">
      <w:pPr>
        <w:autoSpaceDE w:val="0"/>
        <w:autoSpaceDN w:val="0"/>
        <w:adjustRightInd w:val="0"/>
        <w:jc w:val="center"/>
        <w:rPr>
          <w:rFonts w:ascii="CIDFont+F1" w:hAnsi="CIDFont+F1" w:cs="CIDFont+F1"/>
          <w:b/>
          <w:sz w:val="24"/>
          <w:szCs w:val="24"/>
        </w:rPr>
      </w:pPr>
    </w:p>
    <w:p w:rsidR="001D5BEB" w:rsidRPr="00C5381A" w:rsidRDefault="001D5BEB" w:rsidP="00EA23BA">
      <w:pPr>
        <w:pStyle w:val="Default"/>
        <w:ind w:firstLine="709"/>
        <w:jc w:val="both"/>
      </w:pPr>
      <w:r w:rsidRPr="00C5381A">
        <w:t>Na podstawie art. 41 ust. 2 pkt 3 i 6 ustawy z dnia 5 czerwca 1998 r. o samorządzie województwa (</w:t>
      </w:r>
      <w:proofErr w:type="spellStart"/>
      <w:r w:rsidRPr="00C5381A">
        <w:t>t.j</w:t>
      </w:r>
      <w:proofErr w:type="spellEnd"/>
      <w:r w:rsidRPr="00C5381A">
        <w:t>. Dz.U. z 201</w:t>
      </w:r>
      <w:r w:rsidR="003455F8" w:rsidRPr="00C5381A">
        <w:t>9</w:t>
      </w:r>
      <w:r w:rsidRPr="00C5381A">
        <w:t xml:space="preserve"> r. poz. </w:t>
      </w:r>
      <w:r w:rsidR="003455F8" w:rsidRPr="00C5381A">
        <w:t>512</w:t>
      </w:r>
      <w:r w:rsidRPr="00C5381A">
        <w:t>) – uchwala się, co następuje:</w:t>
      </w:r>
    </w:p>
    <w:p w:rsidR="001D5BEB" w:rsidRPr="00C5381A" w:rsidRDefault="001D5BEB" w:rsidP="00EA23BA">
      <w:pPr>
        <w:pStyle w:val="Default"/>
        <w:ind w:firstLine="709"/>
        <w:jc w:val="both"/>
      </w:pPr>
    </w:p>
    <w:p w:rsidR="001D5BEB" w:rsidRPr="00C5381A" w:rsidRDefault="001D5BEB" w:rsidP="001D5BEB">
      <w:pPr>
        <w:pStyle w:val="Default"/>
        <w:ind w:firstLine="708"/>
        <w:jc w:val="center"/>
        <w:rPr>
          <w:b/>
        </w:rPr>
      </w:pPr>
      <w:r w:rsidRPr="00C5381A">
        <w:rPr>
          <w:b/>
        </w:rPr>
        <w:t>§ 1.</w:t>
      </w:r>
    </w:p>
    <w:p w:rsidR="006E20FE" w:rsidRPr="00C5381A" w:rsidRDefault="006E20FE" w:rsidP="00345532">
      <w:pPr>
        <w:pStyle w:val="Default"/>
        <w:ind w:firstLine="708"/>
        <w:jc w:val="both"/>
        <w:rPr>
          <w:b/>
        </w:rPr>
      </w:pPr>
    </w:p>
    <w:p w:rsidR="006E20FE" w:rsidRPr="00C5381A" w:rsidRDefault="006E20FE" w:rsidP="00C5381A">
      <w:pPr>
        <w:pStyle w:val="Default"/>
        <w:jc w:val="both"/>
      </w:pPr>
      <w:r w:rsidRPr="00C5381A">
        <w:t>Załącznik Nr 2</w:t>
      </w:r>
      <w:r w:rsidR="00C5381A" w:rsidRPr="00C5381A">
        <w:t xml:space="preserve"> </w:t>
      </w:r>
      <w:r w:rsidR="008C356F" w:rsidRPr="004A43DB">
        <w:rPr>
          <w:bCs/>
          <w:i/>
        </w:rPr>
        <w:t>S</w:t>
      </w:r>
      <w:r w:rsidR="008C356F" w:rsidRPr="004A43DB">
        <w:rPr>
          <w:i/>
        </w:rPr>
        <w:t xml:space="preserve">posób i tryb dokonywania zmian w budżecie Województwa oraz zmian </w:t>
      </w:r>
      <w:r w:rsidR="008C356F">
        <w:rPr>
          <w:i/>
        </w:rPr>
        <w:br/>
      </w:r>
      <w:r w:rsidR="008C356F" w:rsidRPr="004A43DB">
        <w:rPr>
          <w:i/>
        </w:rPr>
        <w:t>w Wieloletniej Prognozie Finansowej Województwa Świętokrzyskiego</w:t>
      </w:r>
      <w:r w:rsidR="008C356F" w:rsidRPr="00C5381A">
        <w:t xml:space="preserve"> </w:t>
      </w:r>
      <w:r w:rsidR="00C5381A" w:rsidRPr="00C5381A">
        <w:t>do</w:t>
      </w:r>
      <w:r w:rsidRPr="00C5381A">
        <w:t xml:space="preserve"> </w:t>
      </w:r>
      <w:r w:rsidR="00C5381A" w:rsidRPr="00C5381A">
        <w:rPr>
          <w:bCs/>
        </w:rPr>
        <w:t xml:space="preserve">uchwały </w:t>
      </w:r>
      <w:r w:rsidR="00DC1617">
        <w:rPr>
          <w:bCs/>
        </w:rPr>
        <w:t>N</w:t>
      </w:r>
      <w:r w:rsidR="00C5381A" w:rsidRPr="00C5381A">
        <w:rPr>
          <w:bCs/>
        </w:rPr>
        <w:t xml:space="preserve">r 4564/18 Zarządu Województwa Świętokrzyskiego z dnia 15 listopada 2018 roku </w:t>
      </w:r>
      <w:r w:rsidR="00C5381A" w:rsidRPr="004A43DB">
        <w:rPr>
          <w:bCs/>
        </w:rPr>
        <w:t>w sprawie: sposobu prowadzenia gospodarki finansowej jednostek budżetowych realizujących budżet województwa</w:t>
      </w:r>
      <w:r w:rsidR="004A43DB">
        <w:t>,</w:t>
      </w:r>
      <w:r w:rsidRPr="004A43DB">
        <w:t xml:space="preserve"> </w:t>
      </w:r>
      <w:r w:rsidRPr="00C5381A">
        <w:t xml:space="preserve">otrzymuje brzmienie </w:t>
      </w:r>
      <w:r w:rsidR="00DC1617">
        <w:t xml:space="preserve">określone treścią </w:t>
      </w:r>
      <w:r w:rsidRPr="00C5381A">
        <w:t>załącznik</w:t>
      </w:r>
      <w:r w:rsidR="00DC1617">
        <w:t>a</w:t>
      </w:r>
      <w:r w:rsidRPr="00C5381A">
        <w:t xml:space="preserve"> do niniejszej uchwały.</w:t>
      </w:r>
    </w:p>
    <w:p w:rsidR="006E20FE" w:rsidRPr="00C5381A" w:rsidRDefault="006E20FE" w:rsidP="006E20FE">
      <w:pPr>
        <w:autoSpaceDE w:val="0"/>
        <w:autoSpaceDN w:val="0"/>
        <w:adjustRightInd w:val="0"/>
        <w:jc w:val="both"/>
        <w:rPr>
          <w:rFonts w:eastAsiaTheme="minorHAnsi"/>
          <w:sz w:val="24"/>
          <w:szCs w:val="24"/>
          <w:lang w:eastAsia="en-US"/>
        </w:rPr>
      </w:pPr>
    </w:p>
    <w:p w:rsidR="006E20FE" w:rsidRPr="00C5381A" w:rsidRDefault="006E20FE" w:rsidP="006E20FE">
      <w:pPr>
        <w:pStyle w:val="Default"/>
        <w:ind w:firstLine="708"/>
        <w:jc w:val="center"/>
        <w:rPr>
          <w:b/>
        </w:rPr>
      </w:pPr>
      <w:r w:rsidRPr="00C5381A">
        <w:rPr>
          <w:b/>
        </w:rPr>
        <w:t>§ 2.</w:t>
      </w:r>
    </w:p>
    <w:p w:rsidR="006E20FE" w:rsidRPr="00C5381A" w:rsidRDefault="006E20FE" w:rsidP="006E20FE">
      <w:pPr>
        <w:autoSpaceDE w:val="0"/>
        <w:autoSpaceDN w:val="0"/>
        <w:adjustRightInd w:val="0"/>
        <w:jc w:val="both"/>
        <w:rPr>
          <w:rFonts w:eastAsiaTheme="minorHAnsi"/>
          <w:sz w:val="24"/>
          <w:szCs w:val="24"/>
          <w:lang w:eastAsia="en-US"/>
        </w:rPr>
      </w:pPr>
    </w:p>
    <w:p w:rsidR="00771EDB" w:rsidRPr="00C5381A" w:rsidRDefault="006E20FE" w:rsidP="00771EDB">
      <w:pPr>
        <w:pStyle w:val="Default"/>
        <w:jc w:val="both"/>
      </w:pPr>
      <w:r w:rsidRPr="00C5381A">
        <w:t xml:space="preserve">Wykonanie uchwały powierza się </w:t>
      </w:r>
      <w:r w:rsidR="00771EDB" w:rsidRPr="00C5381A">
        <w:t xml:space="preserve">Dyrektorom </w:t>
      </w:r>
      <w:r w:rsidR="00C5381A" w:rsidRPr="00C5381A">
        <w:t>Departamentów i</w:t>
      </w:r>
      <w:r w:rsidR="00771EDB" w:rsidRPr="00C5381A">
        <w:t xml:space="preserve"> równorzędnych komórek organizacyjnych Urzędu Marszałkowskiego w Kielcach oraz kierownikom jednostek budżetowych.</w:t>
      </w:r>
    </w:p>
    <w:p w:rsidR="006E20FE" w:rsidRPr="00C5381A" w:rsidRDefault="006E20FE" w:rsidP="006E20FE">
      <w:pPr>
        <w:autoSpaceDE w:val="0"/>
        <w:autoSpaceDN w:val="0"/>
        <w:adjustRightInd w:val="0"/>
        <w:jc w:val="both"/>
        <w:rPr>
          <w:rFonts w:eastAsiaTheme="minorHAnsi"/>
          <w:sz w:val="24"/>
          <w:szCs w:val="24"/>
          <w:lang w:eastAsia="en-US"/>
        </w:rPr>
      </w:pPr>
    </w:p>
    <w:p w:rsidR="00771EDB" w:rsidRPr="00C5381A" w:rsidRDefault="00771EDB" w:rsidP="00771EDB">
      <w:pPr>
        <w:pStyle w:val="Default"/>
        <w:ind w:firstLine="708"/>
        <w:jc w:val="center"/>
        <w:rPr>
          <w:b/>
        </w:rPr>
      </w:pPr>
      <w:r w:rsidRPr="00C5381A">
        <w:rPr>
          <w:b/>
        </w:rPr>
        <w:t>§ 3.</w:t>
      </w:r>
    </w:p>
    <w:p w:rsidR="00771EDB" w:rsidRPr="00C5381A" w:rsidRDefault="00771EDB" w:rsidP="00771EDB">
      <w:pPr>
        <w:pStyle w:val="Default"/>
        <w:ind w:firstLine="708"/>
        <w:jc w:val="center"/>
        <w:rPr>
          <w:b/>
        </w:rPr>
      </w:pPr>
    </w:p>
    <w:p w:rsidR="00771EDB" w:rsidRPr="00C5381A" w:rsidRDefault="00771EDB" w:rsidP="00771EDB">
      <w:pPr>
        <w:pStyle w:val="Default"/>
        <w:ind w:firstLine="708"/>
        <w:jc w:val="center"/>
        <w:rPr>
          <w:b/>
        </w:rPr>
      </w:pPr>
    </w:p>
    <w:p w:rsidR="00771EDB" w:rsidRPr="00C5381A" w:rsidRDefault="00771EDB" w:rsidP="006E20FE">
      <w:pPr>
        <w:autoSpaceDE w:val="0"/>
        <w:autoSpaceDN w:val="0"/>
        <w:adjustRightInd w:val="0"/>
        <w:jc w:val="both"/>
        <w:rPr>
          <w:rFonts w:eastAsiaTheme="minorHAnsi"/>
          <w:sz w:val="24"/>
          <w:szCs w:val="24"/>
          <w:lang w:eastAsia="en-US"/>
        </w:rPr>
      </w:pPr>
      <w:r w:rsidRPr="00C5381A">
        <w:rPr>
          <w:rFonts w:eastAsiaTheme="minorHAnsi"/>
          <w:sz w:val="24"/>
          <w:szCs w:val="24"/>
          <w:lang w:eastAsia="en-US"/>
        </w:rPr>
        <w:t>Uchwała wchodzi w życie z dniem podjęcia.</w:t>
      </w:r>
    </w:p>
    <w:p w:rsidR="006E20FE" w:rsidRPr="00C5381A" w:rsidRDefault="006E20FE" w:rsidP="006E20FE">
      <w:pPr>
        <w:pStyle w:val="Default"/>
        <w:jc w:val="both"/>
      </w:pPr>
    </w:p>
    <w:p w:rsidR="00322987" w:rsidRPr="00C5381A" w:rsidRDefault="00322987" w:rsidP="001D5BEB">
      <w:pPr>
        <w:pStyle w:val="Default"/>
        <w:jc w:val="both"/>
      </w:pPr>
    </w:p>
    <w:p w:rsidR="00C5381A" w:rsidRPr="00C5381A" w:rsidRDefault="00C5381A" w:rsidP="00C5381A">
      <w:pPr>
        <w:shd w:val="clear" w:color="auto" w:fill="FFFFFF"/>
        <w:autoSpaceDE w:val="0"/>
        <w:autoSpaceDN w:val="0"/>
        <w:adjustRightInd w:val="0"/>
        <w:ind w:left="4956" w:firstLine="998"/>
        <w:jc w:val="both"/>
        <w:rPr>
          <w:color w:val="000000"/>
          <w:sz w:val="24"/>
          <w:szCs w:val="24"/>
        </w:rPr>
      </w:pPr>
      <w:r w:rsidRPr="00C5381A">
        <w:rPr>
          <w:b/>
          <w:bCs/>
          <w:color w:val="000000"/>
          <w:sz w:val="24"/>
          <w:szCs w:val="24"/>
        </w:rPr>
        <w:t xml:space="preserve">MARSZAŁEK </w:t>
      </w:r>
    </w:p>
    <w:p w:rsidR="00C5381A" w:rsidRPr="00C5381A" w:rsidRDefault="00C5381A" w:rsidP="00C5381A">
      <w:pPr>
        <w:shd w:val="clear" w:color="auto" w:fill="FFFFFF"/>
        <w:autoSpaceDE w:val="0"/>
        <w:autoSpaceDN w:val="0"/>
        <w:adjustRightInd w:val="0"/>
        <w:ind w:left="4248"/>
        <w:jc w:val="both"/>
        <w:rPr>
          <w:b/>
          <w:bCs/>
          <w:color w:val="000000"/>
          <w:sz w:val="24"/>
          <w:szCs w:val="24"/>
        </w:rPr>
      </w:pPr>
      <w:r w:rsidRPr="00C5381A">
        <w:rPr>
          <w:b/>
          <w:bCs/>
          <w:color w:val="000000"/>
          <w:sz w:val="24"/>
          <w:szCs w:val="24"/>
        </w:rPr>
        <w:t xml:space="preserve">WOJEWÓDZTWA ŚWIĘTOKRZYSKIEGO </w:t>
      </w:r>
    </w:p>
    <w:p w:rsidR="00C5381A" w:rsidRPr="00C5381A" w:rsidRDefault="00C5381A" w:rsidP="00C5381A">
      <w:pPr>
        <w:shd w:val="clear" w:color="auto" w:fill="FFFFFF"/>
        <w:autoSpaceDE w:val="0"/>
        <w:autoSpaceDN w:val="0"/>
        <w:adjustRightInd w:val="0"/>
        <w:ind w:left="4248"/>
        <w:jc w:val="both"/>
        <w:rPr>
          <w:color w:val="000000"/>
          <w:sz w:val="24"/>
          <w:szCs w:val="24"/>
        </w:rPr>
      </w:pPr>
    </w:p>
    <w:p w:rsidR="00C5381A" w:rsidRPr="00C5381A" w:rsidRDefault="00C5381A" w:rsidP="00C5381A">
      <w:pPr>
        <w:shd w:val="clear" w:color="auto" w:fill="FFFFFF"/>
        <w:autoSpaceDE w:val="0"/>
        <w:autoSpaceDN w:val="0"/>
        <w:adjustRightInd w:val="0"/>
        <w:ind w:left="4248"/>
        <w:jc w:val="both"/>
        <w:rPr>
          <w:color w:val="000000"/>
          <w:sz w:val="24"/>
          <w:szCs w:val="24"/>
        </w:rPr>
      </w:pPr>
    </w:p>
    <w:p w:rsidR="00C5381A" w:rsidRPr="00C5381A" w:rsidRDefault="00C5381A" w:rsidP="00C5381A">
      <w:pPr>
        <w:shd w:val="clear" w:color="auto" w:fill="FFFFFF"/>
        <w:autoSpaceDE w:val="0"/>
        <w:autoSpaceDN w:val="0"/>
        <w:adjustRightInd w:val="0"/>
        <w:ind w:left="5245" w:firstLine="419"/>
        <w:jc w:val="both"/>
        <w:rPr>
          <w:b/>
          <w:bCs/>
          <w:color w:val="000000"/>
          <w:sz w:val="24"/>
          <w:szCs w:val="24"/>
        </w:rPr>
      </w:pPr>
      <w:r w:rsidRPr="00C5381A">
        <w:rPr>
          <w:b/>
          <w:bCs/>
          <w:color w:val="000000"/>
          <w:sz w:val="24"/>
          <w:szCs w:val="24"/>
        </w:rPr>
        <w:t>ANDRZEJ BĘTKOWSKI</w:t>
      </w:r>
    </w:p>
    <w:p w:rsidR="00C5381A" w:rsidRPr="00C5381A" w:rsidRDefault="00C5381A" w:rsidP="00C5381A">
      <w:pPr>
        <w:shd w:val="clear" w:color="auto" w:fill="FFFFFF"/>
        <w:autoSpaceDE w:val="0"/>
        <w:autoSpaceDN w:val="0"/>
        <w:adjustRightInd w:val="0"/>
        <w:ind w:left="5664"/>
        <w:jc w:val="both"/>
        <w:rPr>
          <w:b/>
          <w:bCs/>
          <w:color w:val="000000"/>
          <w:sz w:val="23"/>
          <w:szCs w:val="23"/>
        </w:rPr>
      </w:pPr>
    </w:p>
    <w:p w:rsidR="00C5381A" w:rsidRPr="00C5381A" w:rsidRDefault="00C5381A" w:rsidP="00C5381A">
      <w:pPr>
        <w:shd w:val="clear" w:color="auto" w:fill="FFFFFF"/>
        <w:autoSpaceDE w:val="0"/>
        <w:autoSpaceDN w:val="0"/>
        <w:adjustRightInd w:val="0"/>
        <w:rPr>
          <w:color w:val="000000"/>
          <w:sz w:val="22"/>
          <w:szCs w:val="22"/>
        </w:rPr>
      </w:pPr>
    </w:p>
    <w:p w:rsidR="00C5381A" w:rsidRDefault="00C5381A"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4A43DB" w:rsidRDefault="004A43DB"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C5381A" w:rsidRDefault="00C5381A" w:rsidP="00C5381A">
      <w:pPr>
        <w:pStyle w:val="Default"/>
        <w:ind w:left="3828" w:firstLine="425"/>
        <w:jc w:val="both"/>
        <w:rPr>
          <w:b/>
          <w:sz w:val="26"/>
          <w:szCs w:val="26"/>
        </w:rPr>
      </w:pPr>
    </w:p>
    <w:p w:rsidR="006841C7" w:rsidRDefault="006841C7" w:rsidP="006841C7">
      <w:pPr>
        <w:autoSpaceDE w:val="0"/>
        <w:autoSpaceDN w:val="0"/>
        <w:adjustRightInd w:val="0"/>
        <w:jc w:val="both"/>
        <w:rPr>
          <w:sz w:val="26"/>
          <w:szCs w:val="26"/>
        </w:rPr>
      </w:pPr>
      <w:bookmarkStart w:id="0" w:name="_GoBack"/>
      <w:bookmarkEnd w:id="0"/>
    </w:p>
    <w:p w:rsidR="006841C7" w:rsidRDefault="006841C7" w:rsidP="006841C7">
      <w:pPr>
        <w:autoSpaceDE w:val="0"/>
        <w:autoSpaceDN w:val="0"/>
        <w:adjustRightInd w:val="0"/>
        <w:jc w:val="both"/>
        <w:rPr>
          <w:sz w:val="26"/>
          <w:szCs w:val="26"/>
        </w:rPr>
      </w:pPr>
    </w:p>
    <w:p w:rsidR="006841C7" w:rsidRDefault="006841C7" w:rsidP="006841C7">
      <w:pPr>
        <w:autoSpaceDE w:val="0"/>
        <w:autoSpaceDN w:val="0"/>
        <w:adjustRightInd w:val="0"/>
        <w:jc w:val="both"/>
        <w:rPr>
          <w:sz w:val="26"/>
          <w:szCs w:val="26"/>
          <w:u w:val="single"/>
        </w:rPr>
      </w:pPr>
      <w:r>
        <w:rPr>
          <w:sz w:val="26"/>
          <w:szCs w:val="26"/>
        </w:rPr>
        <w:tab/>
      </w:r>
      <w:r>
        <w:rPr>
          <w:sz w:val="26"/>
          <w:szCs w:val="26"/>
        </w:rPr>
        <w:tab/>
      </w:r>
      <w:r>
        <w:rPr>
          <w:sz w:val="26"/>
          <w:szCs w:val="26"/>
        </w:rPr>
        <w:tab/>
      </w:r>
      <w:r>
        <w:rPr>
          <w:sz w:val="26"/>
          <w:szCs w:val="26"/>
        </w:rPr>
        <w:tab/>
      </w:r>
      <w:r>
        <w:rPr>
          <w:sz w:val="26"/>
          <w:szCs w:val="26"/>
        </w:rPr>
        <w:tab/>
      </w:r>
      <w:r w:rsidRPr="0044158E">
        <w:rPr>
          <w:sz w:val="26"/>
          <w:szCs w:val="26"/>
          <w:u w:val="single"/>
        </w:rPr>
        <w:t>Uzasadnienie</w:t>
      </w:r>
    </w:p>
    <w:p w:rsidR="006841C7" w:rsidRDefault="006841C7" w:rsidP="006841C7">
      <w:pPr>
        <w:autoSpaceDE w:val="0"/>
        <w:autoSpaceDN w:val="0"/>
        <w:adjustRightInd w:val="0"/>
        <w:jc w:val="both"/>
        <w:rPr>
          <w:sz w:val="26"/>
          <w:szCs w:val="26"/>
          <w:u w:val="single"/>
        </w:rPr>
      </w:pPr>
    </w:p>
    <w:p w:rsidR="006841C7" w:rsidRDefault="006841C7" w:rsidP="006841C7">
      <w:pPr>
        <w:autoSpaceDE w:val="0"/>
        <w:autoSpaceDN w:val="0"/>
        <w:adjustRightInd w:val="0"/>
        <w:jc w:val="both"/>
        <w:rPr>
          <w:sz w:val="26"/>
          <w:szCs w:val="26"/>
          <w:u w:val="single"/>
        </w:rPr>
      </w:pPr>
    </w:p>
    <w:p w:rsidR="006841C7" w:rsidRPr="0044158E" w:rsidRDefault="006841C7" w:rsidP="006841C7">
      <w:pPr>
        <w:autoSpaceDE w:val="0"/>
        <w:autoSpaceDN w:val="0"/>
        <w:adjustRightInd w:val="0"/>
        <w:jc w:val="both"/>
        <w:rPr>
          <w:sz w:val="26"/>
          <w:szCs w:val="26"/>
        </w:rPr>
      </w:pPr>
      <w:r w:rsidRPr="0044158E">
        <w:rPr>
          <w:sz w:val="26"/>
          <w:szCs w:val="26"/>
        </w:rPr>
        <w:t>Proponuje się zmianę wzoru tzw. wniosków budżetowych i wprowadzenie zapisu dotyczącego wymogu zasięgnięcia opinii konsultacji radcy prawnego obsługującego departament wnioskujący o dokonanie zmiany w budżecie</w:t>
      </w:r>
      <w:r>
        <w:rPr>
          <w:sz w:val="26"/>
          <w:szCs w:val="26"/>
        </w:rPr>
        <w:t xml:space="preserve"> i </w:t>
      </w:r>
      <w:r w:rsidRPr="0044158E">
        <w:rPr>
          <w:sz w:val="26"/>
          <w:szCs w:val="26"/>
        </w:rPr>
        <w:t xml:space="preserve">w </w:t>
      </w:r>
      <w:r>
        <w:rPr>
          <w:sz w:val="26"/>
          <w:szCs w:val="26"/>
        </w:rPr>
        <w:t>Wieloletniej Prognozie Finansowej</w:t>
      </w:r>
      <w:r w:rsidRPr="0044158E">
        <w:rPr>
          <w:sz w:val="26"/>
          <w:szCs w:val="26"/>
        </w:rPr>
        <w:t xml:space="preserve"> w sytuacjach powstania wątpliwości natury formalno-prawnej.</w:t>
      </w:r>
    </w:p>
    <w:p w:rsidR="006841C7" w:rsidRDefault="006841C7" w:rsidP="006841C7">
      <w:pPr>
        <w:autoSpaceDE w:val="0"/>
        <w:autoSpaceDN w:val="0"/>
        <w:adjustRightInd w:val="0"/>
        <w:jc w:val="both"/>
        <w:rPr>
          <w:sz w:val="26"/>
          <w:szCs w:val="26"/>
        </w:rPr>
      </w:pPr>
      <w:r w:rsidRPr="0044158E">
        <w:rPr>
          <w:sz w:val="26"/>
          <w:szCs w:val="26"/>
        </w:rPr>
        <w:t>Zmiana w znacznym stopniu usprawni proces tworzenia i składania tzw. wniosków budżetowych poprzez eliminację</w:t>
      </w:r>
      <w:r>
        <w:rPr>
          <w:sz w:val="26"/>
          <w:szCs w:val="26"/>
        </w:rPr>
        <w:t xml:space="preserve"> </w:t>
      </w:r>
      <w:r w:rsidRPr="0044158E">
        <w:rPr>
          <w:sz w:val="26"/>
          <w:szCs w:val="26"/>
        </w:rPr>
        <w:t xml:space="preserve">wszystkich </w:t>
      </w:r>
      <w:r>
        <w:rPr>
          <w:sz w:val="26"/>
          <w:szCs w:val="26"/>
        </w:rPr>
        <w:t xml:space="preserve"> </w:t>
      </w:r>
      <w:r w:rsidRPr="0044158E">
        <w:rPr>
          <w:sz w:val="26"/>
          <w:szCs w:val="26"/>
        </w:rPr>
        <w:t>przypadków</w:t>
      </w:r>
      <w:r>
        <w:rPr>
          <w:sz w:val="26"/>
          <w:szCs w:val="26"/>
        </w:rPr>
        <w:t>,</w:t>
      </w:r>
      <w:r w:rsidRPr="0044158E">
        <w:rPr>
          <w:sz w:val="26"/>
          <w:szCs w:val="26"/>
        </w:rPr>
        <w:t xml:space="preserve"> w który</w:t>
      </w:r>
      <w:r>
        <w:rPr>
          <w:sz w:val="26"/>
          <w:szCs w:val="26"/>
        </w:rPr>
        <w:t>ch</w:t>
      </w:r>
      <w:r w:rsidRPr="0044158E">
        <w:rPr>
          <w:sz w:val="26"/>
          <w:szCs w:val="26"/>
        </w:rPr>
        <w:t xml:space="preserve"> konsultacja radcy prawnego nie jest potrzebna.</w:t>
      </w:r>
    </w:p>
    <w:p w:rsidR="00663EBF" w:rsidRDefault="00663EBF" w:rsidP="006841C7">
      <w:pPr>
        <w:autoSpaceDE w:val="0"/>
        <w:autoSpaceDN w:val="0"/>
        <w:adjustRightInd w:val="0"/>
        <w:jc w:val="both"/>
        <w:rPr>
          <w:sz w:val="26"/>
          <w:szCs w:val="26"/>
        </w:rPr>
      </w:pPr>
      <w:r>
        <w:rPr>
          <w:sz w:val="26"/>
          <w:szCs w:val="26"/>
        </w:rPr>
        <w:t>Nadto uszczegółowieniu ulega opis sposobu sporządzania harmonogramów dochodów i wydatków zawarty w pkt. II Załącznika Nr 2.</w:t>
      </w:r>
    </w:p>
    <w:p w:rsidR="006841C7" w:rsidRDefault="006841C7" w:rsidP="006841C7">
      <w:pPr>
        <w:autoSpaceDE w:val="0"/>
        <w:autoSpaceDN w:val="0"/>
        <w:adjustRightInd w:val="0"/>
        <w:jc w:val="both"/>
        <w:rPr>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6841C7" w:rsidRDefault="006841C7" w:rsidP="00C5381A">
      <w:pPr>
        <w:pStyle w:val="Default"/>
        <w:ind w:left="3828" w:firstLine="425"/>
        <w:jc w:val="both"/>
        <w:rPr>
          <w:b/>
          <w:sz w:val="26"/>
          <w:szCs w:val="26"/>
        </w:rPr>
      </w:pPr>
    </w:p>
    <w:p w:rsidR="00E96309" w:rsidRPr="00EB0D8D" w:rsidRDefault="006841C7" w:rsidP="00C5381A">
      <w:pPr>
        <w:pStyle w:val="Default"/>
        <w:ind w:left="3828" w:firstLine="425"/>
        <w:jc w:val="both"/>
      </w:pPr>
      <w:r>
        <w:rPr>
          <w:b/>
          <w:sz w:val="26"/>
          <w:szCs w:val="26"/>
        </w:rPr>
        <w:lastRenderedPageBreak/>
        <w:t xml:space="preserve">      </w:t>
      </w:r>
      <w:r w:rsidR="00C5381A">
        <w:rPr>
          <w:b/>
          <w:sz w:val="26"/>
          <w:szCs w:val="26"/>
        </w:rPr>
        <w:t xml:space="preserve">                </w:t>
      </w:r>
      <w:r w:rsidR="00E96309" w:rsidRPr="00EB0D8D">
        <w:t xml:space="preserve">Załącznik </w:t>
      </w:r>
    </w:p>
    <w:p w:rsidR="00E96309" w:rsidRPr="00EB0D8D" w:rsidRDefault="00E96309" w:rsidP="00E96309">
      <w:pPr>
        <w:autoSpaceDE w:val="0"/>
        <w:autoSpaceDN w:val="0"/>
        <w:adjustRightInd w:val="0"/>
        <w:ind w:left="5664"/>
        <w:rPr>
          <w:sz w:val="24"/>
          <w:szCs w:val="24"/>
        </w:rPr>
      </w:pPr>
      <w:r w:rsidRPr="00EB0D8D">
        <w:rPr>
          <w:sz w:val="24"/>
          <w:szCs w:val="24"/>
        </w:rPr>
        <w:t>do uchwały Nr</w:t>
      </w:r>
      <w:r w:rsidR="007D0B42">
        <w:rPr>
          <w:sz w:val="24"/>
          <w:szCs w:val="24"/>
        </w:rPr>
        <w:t xml:space="preserve"> 8</w:t>
      </w:r>
      <w:r w:rsidR="00EB6EAD">
        <w:rPr>
          <w:sz w:val="24"/>
          <w:szCs w:val="24"/>
        </w:rPr>
        <w:t>08</w:t>
      </w:r>
      <w:r w:rsidRPr="00EB0D8D">
        <w:rPr>
          <w:sz w:val="24"/>
          <w:szCs w:val="24"/>
        </w:rPr>
        <w:t>/1</w:t>
      </w:r>
      <w:r>
        <w:rPr>
          <w:sz w:val="24"/>
          <w:szCs w:val="24"/>
        </w:rPr>
        <w:t>9</w:t>
      </w:r>
    </w:p>
    <w:p w:rsidR="00E96309" w:rsidRPr="00EB0D8D" w:rsidRDefault="00E96309" w:rsidP="00E96309">
      <w:pPr>
        <w:autoSpaceDE w:val="0"/>
        <w:autoSpaceDN w:val="0"/>
        <w:adjustRightInd w:val="0"/>
        <w:ind w:left="5664"/>
        <w:rPr>
          <w:sz w:val="24"/>
          <w:szCs w:val="24"/>
        </w:rPr>
      </w:pPr>
      <w:r w:rsidRPr="00EB0D8D">
        <w:rPr>
          <w:sz w:val="24"/>
          <w:szCs w:val="24"/>
        </w:rPr>
        <w:t>Zarządu Województwa Świętokrzyskiego</w:t>
      </w:r>
    </w:p>
    <w:p w:rsidR="00E96309" w:rsidRPr="00EB0D8D" w:rsidRDefault="00E96309" w:rsidP="00E96309">
      <w:pPr>
        <w:autoSpaceDE w:val="0"/>
        <w:autoSpaceDN w:val="0"/>
        <w:adjustRightInd w:val="0"/>
        <w:ind w:left="5664"/>
        <w:rPr>
          <w:sz w:val="24"/>
          <w:szCs w:val="24"/>
        </w:rPr>
      </w:pPr>
      <w:r w:rsidRPr="00EB0D8D">
        <w:rPr>
          <w:sz w:val="24"/>
          <w:szCs w:val="24"/>
        </w:rPr>
        <w:t>z dnia</w:t>
      </w:r>
      <w:r w:rsidR="007D0B42">
        <w:rPr>
          <w:sz w:val="24"/>
          <w:szCs w:val="24"/>
        </w:rPr>
        <w:t xml:space="preserve"> 3.07</w:t>
      </w:r>
      <w:r>
        <w:rPr>
          <w:sz w:val="24"/>
          <w:szCs w:val="24"/>
        </w:rPr>
        <w:t>.</w:t>
      </w:r>
      <w:r w:rsidRPr="00EB0D8D">
        <w:rPr>
          <w:sz w:val="24"/>
          <w:szCs w:val="24"/>
        </w:rPr>
        <w:t>201</w:t>
      </w:r>
      <w:r>
        <w:rPr>
          <w:sz w:val="24"/>
          <w:szCs w:val="24"/>
        </w:rPr>
        <w:t>9</w:t>
      </w:r>
      <w:r w:rsidRPr="00EB0D8D">
        <w:rPr>
          <w:sz w:val="24"/>
          <w:szCs w:val="24"/>
        </w:rPr>
        <w:t xml:space="preserve"> r.</w:t>
      </w:r>
    </w:p>
    <w:p w:rsidR="00E96309" w:rsidRPr="00EB0D8D" w:rsidRDefault="00E96309" w:rsidP="00E96309">
      <w:pPr>
        <w:autoSpaceDE w:val="0"/>
        <w:autoSpaceDN w:val="0"/>
        <w:adjustRightInd w:val="0"/>
        <w:ind w:left="5664"/>
        <w:rPr>
          <w:sz w:val="24"/>
          <w:szCs w:val="24"/>
        </w:rPr>
      </w:pPr>
    </w:p>
    <w:p w:rsidR="0047573D" w:rsidRDefault="0047573D" w:rsidP="00322987">
      <w:pPr>
        <w:pStyle w:val="Default"/>
        <w:ind w:left="4956" w:firstLine="573"/>
        <w:jc w:val="both"/>
        <w:rPr>
          <w:b/>
        </w:rPr>
      </w:pPr>
    </w:p>
    <w:p w:rsidR="00125D89" w:rsidRPr="00EB0D8D" w:rsidRDefault="00125D89" w:rsidP="00125D89">
      <w:pPr>
        <w:autoSpaceDE w:val="0"/>
        <w:autoSpaceDN w:val="0"/>
        <w:adjustRightInd w:val="0"/>
        <w:jc w:val="both"/>
        <w:rPr>
          <w:b/>
          <w:bCs/>
          <w:sz w:val="26"/>
          <w:szCs w:val="26"/>
        </w:rPr>
      </w:pPr>
      <w:r w:rsidRPr="00EB0D8D">
        <w:rPr>
          <w:b/>
          <w:bCs/>
          <w:sz w:val="26"/>
          <w:szCs w:val="26"/>
        </w:rPr>
        <w:t xml:space="preserve">Sposób i tryb dokonywania zmian w budżecie Województwa oraz zmian </w:t>
      </w:r>
      <w:r w:rsidRPr="00EB0D8D">
        <w:rPr>
          <w:b/>
          <w:bCs/>
          <w:sz w:val="26"/>
          <w:szCs w:val="26"/>
        </w:rPr>
        <w:br/>
        <w:t xml:space="preserve">w Wieloletniej Prognozie Finansowej Województwa Świętokrzyskiego. </w:t>
      </w:r>
    </w:p>
    <w:p w:rsidR="00125D89" w:rsidRPr="00EB0D8D" w:rsidRDefault="00125D89" w:rsidP="00125D89">
      <w:pPr>
        <w:autoSpaceDE w:val="0"/>
        <w:autoSpaceDN w:val="0"/>
        <w:adjustRightInd w:val="0"/>
        <w:jc w:val="both"/>
        <w:rPr>
          <w:b/>
          <w:bCs/>
          <w:sz w:val="26"/>
          <w:szCs w:val="26"/>
        </w:rPr>
      </w:pPr>
    </w:p>
    <w:p w:rsidR="00125D89" w:rsidRPr="00EB0D8D" w:rsidRDefault="00125D89" w:rsidP="00125D89">
      <w:pPr>
        <w:pStyle w:val="Akapitzlist1"/>
        <w:autoSpaceDE w:val="0"/>
        <w:autoSpaceDN w:val="0"/>
        <w:adjustRightInd w:val="0"/>
        <w:ind w:left="0"/>
        <w:jc w:val="both"/>
        <w:rPr>
          <w:rFonts w:ascii="Times New Roman" w:hAnsi="Times New Roman"/>
          <w:sz w:val="26"/>
          <w:szCs w:val="26"/>
        </w:rPr>
      </w:pPr>
      <w:r w:rsidRPr="00EB0D8D">
        <w:rPr>
          <w:rFonts w:ascii="Times New Roman" w:hAnsi="Times New Roman"/>
          <w:sz w:val="26"/>
          <w:szCs w:val="26"/>
        </w:rPr>
        <w:t>W związku z wykonywaniem budżetu/wieloletniej prognozy finansowej ustala się procedurę określającą sposób i tryb dokonywania zmian w budżecie Województwa oraz w Wieloletniej Prognozie Finansowej Województwa Świętokrzyskiego, jak również powiązane z nią sporządzanie harmonogramów dochodów i wydatków oraz rozliczeń zadań/przedsięwzięć z udziałem środków, o których mowa w art. 5 ust.1 pkt 2 i 3 ustawy o finansach publicznych.</w:t>
      </w:r>
    </w:p>
    <w:p w:rsidR="00125D89" w:rsidRPr="00EB0D8D" w:rsidRDefault="00125D89" w:rsidP="00125D89">
      <w:pPr>
        <w:pStyle w:val="Akapitzlist1"/>
        <w:autoSpaceDE w:val="0"/>
        <w:autoSpaceDN w:val="0"/>
        <w:adjustRightInd w:val="0"/>
        <w:ind w:left="0"/>
        <w:jc w:val="both"/>
        <w:rPr>
          <w:rFonts w:ascii="Times New Roman" w:hAnsi="Times New Roman"/>
          <w:sz w:val="26"/>
          <w:szCs w:val="26"/>
        </w:rPr>
      </w:pPr>
    </w:p>
    <w:p w:rsidR="00125D89" w:rsidRPr="00EB0D8D" w:rsidRDefault="00125D89" w:rsidP="00125D89">
      <w:pPr>
        <w:pStyle w:val="Akapitzlist"/>
        <w:numPr>
          <w:ilvl w:val="0"/>
          <w:numId w:val="5"/>
        </w:numPr>
        <w:tabs>
          <w:tab w:val="left" w:pos="284"/>
        </w:tabs>
        <w:autoSpaceDE w:val="0"/>
        <w:autoSpaceDN w:val="0"/>
        <w:adjustRightInd w:val="0"/>
        <w:ind w:left="284" w:hanging="284"/>
        <w:jc w:val="both"/>
        <w:rPr>
          <w:b/>
          <w:sz w:val="26"/>
          <w:szCs w:val="26"/>
        </w:rPr>
      </w:pPr>
      <w:r w:rsidRPr="00EB0D8D">
        <w:rPr>
          <w:b/>
          <w:sz w:val="26"/>
          <w:szCs w:val="26"/>
        </w:rPr>
        <w:t>Procedura dokonywania zmian w budżecie województwa oraz Wieloletniej Prognozie Finansowej</w:t>
      </w:r>
    </w:p>
    <w:p w:rsidR="00125D89" w:rsidRPr="00EB0D8D" w:rsidRDefault="00125D89" w:rsidP="00125D89">
      <w:pPr>
        <w:pStyle w:val="Akapitzlist"/>
        <w:tabs>
          <w:tab w:val="left" w:pos="284"/>
        </w:tabs>
        <w:autoSpaceDE w:val="0"/>
        <w:autoSpaceDN w:val="0"/>
        <w:adjustRightInd w:val="0"/>
        <w:ind w:left="284"/>
        <w:jc w:val="both"/>
        <w:rPr>
          <w:b/>
          <w:sz w:val="26"/>
          <w:szCs w:val="26"/>
        </w:rPr>
      </w:pPr>
    </w:p>
    <w:p w:rsidR="00125D89" w:rsidRPr="00EB0D8D" w:rsidRDefault="00125D89" w:rsidP="00125D89">
      <w:pPr>
        <w:pStyle w:val="Akapitzlist1"/>
        <w:numPr>
          <w:ilvl w:val="0"/>
          <w:numId w:val="1"/>
        </w:numPr>
        <w:autoSpaceDE w:val="0"/>
        <w:autoSpaceDN w:val="0"/>
        <w:adjustRightInd w:val="0"/>
        <w:ind w:left="567" w:hanging="283"/>
        <w:jc w:val="both"/>
        <w:rPr>
          <w:rFonts w:ascii="Times New Roman" w:hAnsi="Times New Roman"/>
          <w:sz w:val="26"/>
          <w:szCs w:val="26"/>
        </w:rPr>
      </w:pPr>
      <w:r w:rsidRPr="00EB0D8D">
        <w:rPr>
          <w:rFonts w:ascii="Times New Roman" w:hAnsi="Times New Roman"/>
          <w:sz w:val="26"/>
          <w:szCs w:val="26"/>
        </w:rPr>
        <w:t xml:space="preserve">Wprowadza się wzór wniosku do Zarządu Województwa, przedstawianego </w:t>
      </w:r>
      <w:r w:rsidRPr="00EB0D8D">
        <w:rPr>
          <w:rFonts w:ascii="Times New Roman" w:hAnsi="Times New Roman"/>
          <w:sz w:val="26"/>
          <w:szCs w:val="26"/>
        </w:rPr>
        <w:br/>
        <w:t>za pośrednictwem Skarbnika Województwa/Zastępcy Dyrektora Departamentu Budżetu i Finansów, na którym proponowane są zmiany dochodów, wydatków  i przedsięwzięć wieloletnich w budżecie i wieloletniej prognozie finansowej, zgodnie z opracowanymi do wniosku załącznikami;</w:t>
      </w:r>
    </w:p>
    <w:p w:rsidR="00125D89" w:rsidRPr="00EB0D8D" w:rsidRDefault="00125D89" w:rsidP="00125D89">
      <w:pPr>
        <w:pStyle w:val="Akapitzlist1"/>
        <w:numPr>
          <w:ilvl w:val="0"/>
          <w:numId w:val="7"/>
        </w:numPr>
        <w:tabs>
          <w:tab w:val="left" w:pos="993"/>
        </w:tabs>
        <w:autoSpaceDE w:val="0"/>
        <w:autoSpaceDN w:val="0"/>
        <w:adjustRightInd w:val="0"/>
        <w:ind w:hanging="153"/>
        <w:jc w:val="both"/>
        <w:rPr>
          <w:rFonts w:ascii="Times New Roman" w:hAnsi="Times New Roman"/>
          <w:sz w:val="26"/>
          <w:szCs w:val="26"/>
        </w:rPr>
      </w:pPr>
      <w:r w:rsidRPr="00EB0D8D">
        <w:rPr>
          <w:rFonts w:ascii="Times New Roman" w:hAnsi="Times New Roman"/>
          <w:sz w:val="26"/>
          <w:szCs w:val="26"/>
        </w:rPr>
        <w:t>dane zawarte w załącznikach wykazuje się w pełnych złotych;</w:t>
      </w:r>
    </w:p>
    <w:p w:rsidR="00125D89" w:rsidRPr="00EB0D8D" w:rsidRDefault="00125D89" w:rsidP="00125D89">
      <w:pPr>
        <w:pStyle w:val="Akapitzlist1"/>
        <w:numPr>
          <w:ilvl w:val="0"/>
          <w:numId w:val="7"/>
        </w:numPr>
        <w:tabs>
          <w:tab w:val="left" w:pos="993"/>
        </w:tabs>
        <w:autoSpaceDE w:val="0"/>
        <w:autoSpaceDN w:val="0"/>
        <w:adjustRightInd w:val="0"/>
        <w:ind w:left="993" w:hanging="426"/>
        <w:jc w:val="both"/>
        <w:rPr>
          <w:rFonts w:ascii="Times New Roman" w:hAnsi="Times New Roman"/>
          <w:sz w:val="26"/>
          <w:szCs w:val="26"/>
        </w:rPr>
      </w:pPr>
      <w:r w:rsidRPr="00EB0D8D">
        <w:rPr>
          <w:rFonts w:ascii="Times New Roman" w:hAnsi="Times New Roman"/>
          <w:sz w:val="26"/>
          <w:szCs w:val="26"/>
        </w:rPr>
        <w:t xml:space="preserve">propozycje zmian wprowadza się w programie firmy </w:t>
      </w:r>
      <w:proofErr w:type="spellStart"/>
      <w:r w:rsidRPr="00EB0D8D">
        <w:rPr>
          <w:rFonts w:ascii="Times New Roman" w:hAnsi="Times New Roman"/>
          <w:sz w:val="26"/>
          <w:szCs w:val="26"/>
        </w:rPr>
        <w:t>ProKomp</w:t>
      </w:r>
      <w:proofErr w:type="spellEnd"/>
      <w:r w:rsidRPr="00EB0D8D">
        <w:rPr>
          <w:rFonts w:ascii="Times New Roman" w:hAnsi="Times New Roman"/>
          <w:sz w:val="26"/>
          <w:szCs w:val="26"/>
        </w:rPr>
        <w:t xml:space="preserve"> w module „Planowanie” (</w:t>
      </w:r>
      <w:bookmarkStart w:id="1" w:name="_Hlk502300807"/>
      <w:r w:rsidRPr="00EB0D8D">
        <w:rPr>
          <w:rFonts w:ascii="Times New Roman" w:hAnsi="Times New Roman"/>
          <w:sz w:val="26"/>
          <w:szCs w:val="26"/>
        </w:rPr>
        <w:t>w zakresie zmian w budżecie</w:t>
      </w:r>
      <w:bookmarkEnd w:id="1"/>
      <w:r w:rsidRPr="00EB0D8D">
        <w:rPr>
          <w:rFonts w:ascii="Times New Roman" w:hAnsi="Times New Roman"/>
          <w:sz w:val="26"/>
          <w:szCs w:val="26"/>
        </w:rPr>
        <w:t xml:space="preserve"> danego roku) i module „WPF” (w zakresie zmian w wieloletniej prognozie finansowej, w tym </w:t>
      </w:r>
      <w:r w:rsidRPr="00EB0D8D">
        <w:rPr>
          <w:rFonts w:ascii="Times New Roman" w:hAnsi="Times New Roman"/>
          <w:sz w:val="26"/>
          <w:szCs w:val="26"/>
        </w:rPr>
        <w:br/>
        <w:t>w wykazie przedsięwzięć);</w:t>
      </w:r>
    </w:p>
    <w:p w:rsidR="00125D89" w:rsidRPr="00EB0D8D" w:rsidRDefault="00125D89" w:rsidP="00125D89">
      <w:pPr>
        <w:pStyle w:val="Akapitzlist1"/>
        <w:numPr>
          <w:ilvl w:val="0"/>
          <w:numId w:val="7"/>
        </w:numPr>
        <w:tabs>
          <w:tab w:val="left" w:pos="993"/>
        </w:tabs>
        <w:autoSpaceDE w:val="0"/>
        <w:autoSpaceDN w:val="0"/>
        <w:adjustRightInd w:val="0"/>
        <w:ind w:left="993" w:hanging="426"/>
        <w:jc w:val="both"/>
        <w:rPr>
          <w:rFonts w:ascii="Times New Roman" w:hAnsi="Times New Roman"/>
          <w:sz w:val="26"/>
          <w:szCs w:val="26"/>
        </w:rPr>
      </w:pPr>
      <w:r w:rsidRPr="00EB0D8D">
        <w:rPr>
          <w:rFonts w:ascii="Times New Roman" w:hAnsi="Times New Roman"/>
          <w:sz w:val="26"/>
          <w:szCs w:val="26"/>
        </w:rPr>
        <w:t xml:space="preserve">każda zmiana dokonywana w budżecie i wieloletniej prognozie finansowej powinna zawierać szczegółowe Uzasadnienie poszczególnych wartości wykazanych w załącznikach do wniosku pod odpowiednim punktem wyszczególnionym we wniosku, tj. odrębnie do dochodów i wydatków </w:t>
      </w:r>
      <w:r w:rsidRPr="00EB0D8D">
        <w:rPr>
          <w:rFonts w:ascii="Times New Roman" w:hAnsi="Times New Roman"/>
          <w:sz w:val="26"/>
          <w:szCs w:val="26"/>
        </w:rPr>
        <w:br/>
        <w:t xml:space="preserve">(w zakresie roku budżetowego i lat następnych) oraz przedsięwzięć </w:t>
      </w:r>
      <w:r w:rsidRPr="00EB0D8D">
        <w:rPr>
          <w:rFonts w:ascii="Times New Roman" w:hAnsi="Times New Roman"/>
          <w:sz w:val="26"/>
          <w:szCs w:val="26"/>
        </w:rPr>
        <w:br/>
        <w:t xml:space="preserve">(w przypadku zmian dotyczących zwrotu dotacji należy podać informację czy zadanie/przedsięwzięcie jest projektem własnym czy realizowanym przez beneficjenta i do jakiej instytucji/podmiotu dokonywany jest zwrot) </w:t>
      </w:r>
      <w:r w:rsidRPr="00EB0D8D">
        <w:rPr>
          <w:rFonts w:ascii="Times New Roman" w:hAnsi="Times New Roman"/>
          <w:sz w:val="26"/>
          <w:szCs w:val="26"/>
        </w:rPr>
        <w:br/>
        <w:t xml:space="preserve">z uwzględnieniem zasadności ich dokonywania. W treści wniosku nie należy przytaczać podziałek klasyfikacji budżetowej i ich nazw; </w:t>
      </w:r>
    </w:p>
    <w:p w:rsidR="00125D89" w:rsidRPr="00EB0D8D" w:rsidRDefault="00125D89" w:rsidP="00125D89">
      <w:pPr>
        <w:pStyle w:val="Akapitzlist1"/>
        <w:numPr>
          <w:ilvl w:val="0"/>
          <w:numId w:val="7"/>
        </w:numPr>
        <w:tabs>
          <w:tab w:val="left" w:pos="993"/>
        </w:tabs>
        <w:autoSpaceDE w:val="0"/>
        <w:autoSpaceDN w:val="0"/>
        <w:adjustRightInd w:val="0"/>
        <w:ind w:left="993" w:hanging="426"/>
        <w:jc w:val="both"/>
        <w:rPr>
          <w:rFonts w:ascii="Times New Roman" w:hAnsi="Times New Roman"/>
          <w:sz w:val="26"/>
          <w:szCs w:val="26"/>
        </w:rPr>
      </w:pPr>
      <w:r w:rsidRPr="00EB0D8D">
        <w:rPr>
          <w:rFonts w:ascii="Times New Roman" w:hAnsi="Times New Roman"/>
          <w:sz w:val="26"/>
          <w:szCs w:val="26"/>
        </w:rPr>
        <w:t>w odniesieniu do przedsięwzięć w uzasadnieniu należy wskazać podstawę przyjęcia ich do realizacji, sposób oszacowania ich wielkości, limit zobowiązań wynikający z uprawnienia organu wykonawczego na realizację przedsięwzięcia oraz w przypadku zadań/przedsięwzięć realizowanych z udziałem środków o którym mowa w art. 5 ust. 1 pkt 2 ustawy o finansach publicznych dodatkowo informację dotyczącą zawartych (</w:t>
      </w:r>
      <w:proofErr w:type="spellStart"/>
      <w:r w:rsidRPr="00EB0D8D">
        <w:rPr>
          <w:rFonts w:ascii="Times New Roman" w:hAnsi="Times New Roman"/>
          <w:sz w:val="26"/>
          <w:szCs w:val="26"/>
        </w:rPr>
        <w:t>pre</w:t>
      </w:r>
      <w:proofErr w:type="spellEnd"/>
      <w:r w:rsidRPr="00EB0D8D">
        <w:rPr>
          <w:rFonts w:ascii="Times New Roman" w:hAnsi="Times New Roman"/>
          <w:sz w:val="26"/>
          <w:szCs w:val="26"/>
        </w:rPr>
        <w:t xml:space="preserve">)umów, </w:t>
      </w:r>
      <w:r w:rsidRPr="00EB0D8D">
        <w:rPr>
          <w:rFonts w:ascii="Times New Roman" w:hAnsi="Times New Roman"/>
          <w:sz w:val="26"/>
          <w:szCs w:val="26"/>
        </w:rPr>
        <w:lastRenderedPageBreak/>
        <w:t>aneksów (data zawarcia umowy wraz z ostatnim obowiązującym aneksem, stopień finansowania);</w:t>
      </w:r>
    </w:p>
    <w:p w:rsidR="00125D89" w:rsidRPr="00EB0D8D" w:rsidRDefault="00125D89" w:rsidP="00125D89">
      <w:pPr>
        <w:pStyle w:val="Akapitzlist1"/>
        <w:numPr>
          <w:ilvl w:val="0"/>
          <w:numId w:val="7"/>
        </w:numPr>
        <w:tabs>
          <w:tab w:val="left" w:pos="993"/>
        </w:tabs>
        <w:autoSpaceDE w:val="0"/>
        <w:autoSpaceDN w:val="0"/>
        <w:adjustRightInd w:val="0"/>
        <w:ind w:left="993" w:hanging="426"/>
        <w:jc w:val="both"/>
        <w:rPr>
          <w:rFonts w:ascii="Times New Roman" w:hAnsi="Times New Roman"/>
          <w:sz w:val="26"/>
          <w:szCs w:val="26"/>
        </w:rPr>
      </w:pPr>
      <w:r w:rsidRPr="00EB0D8D">
        <w:rPr>
          <w:rFonts w:ascii="Times New Roman" w:hAnsi="Times New Roman"/>
          <w:sz w:val="26"/>
          <w:szCs w:val="26"/>
        </w:rPr>
        <w:t xml:space="preserve">przez limit zobowiązań należy rozumieć kwotę odnoszącą się do możliwości zaciągnięcia zobowiązania prawnego (tj. m.in. zawarcia umowy w roku budżetowym na realizację przedmiotowego zadania, w przypadku braku limitu należy umieścić wartość „0”). Limit zobowiązań (kol. 18 „Wykazu przedsięwzięć”) w ciągu danego roku budżetowego nie ulega zmianie, z wyjątkiem wynikających ze zmian łącznych nakładów finansowych dokonywanych w danym roku budżetowym (tj. zmniejszeń lub </w:t>
      </w:r>
      <w:r w:rsidRPr="00EB0D8D">
        <w:rPr>
          <w:rFonts w:ascii="Times New Roman" w:hAnsi="Times New Roman"/>
          <w:spacing w:val="-6"/>
          <w:position w:val="2"/>
          <w:sz w:val="26"/>
          <w:szCs w:val="26"/>
        </w:rPr>
        <w:t>zwiększeń np. w związku z podpisanym aneksem</w:t>
      </w:r>
      <w:r w:rsidRPr="00EB0D8D">
        <w:rPr>
          <w:rFonts w:ascii="Times New Roman" w:hAnsi="Times New Roman"/>
          <w:sz w:val="26"/>
          <w:szCs w:val="26"/>
        </w:rPr>
        <w:t xml:space="preserve"> zwiększającym/zmniejszającym łączną wartość całego przedsięwzięcia) oraz aktualizacji limitu wynikającej ze zmiany prawnego zaangażowania środków, dokonanej od momentu przekazania materiałów planistycznych (do projektu wieloletniej prognozy finansowej) do ostatniego dnia roku poprzedzającego dany rok budżetowy. Każda zmiana limitu zobowiązań (kol. 18) danego przedsięwzięcia wymaga szczegółowego uzasadnienia we wniosku; </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w przypadku zmian kwot dotyczących zadań planowanych do realizacji wyłącznie w roku budżetowym (nie ujętych w przedsięwzięciach wieloletnich), we wniosku powinna być zamieszczona adnotacja: „nie dotyczy przedsięwzięć”;</w:t>
      </w:r>
    </w:p>
    <w:p w:rsidR="00125D89" w:rsidRPr="00EB0D8D" w:rsidRDefault="00125D89" w:rsidP="00125D89">
      <w:pPr>
        <w:pStyle w:val="Akapitzlist1"/>
        <w:numPr>
          <w:ilvl w:val="0"/>
          <w:numId w:val="7"/>
        </w:numPr>
        <w:tabs>
          <w:tab w:val="left" w:pos="709"/>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zmiany wydatków majątkowych należy sporządzać w podziale </w:t>
      </w:r>
      <w:r w:rsidRPr="00EB0D8D">
        <w:rPr>
          <w:rFonts w:ascii="Times New Roman" w:hAnsi="Times New Roman"/>
          <w:sz w:val="26"/>
          <w:szCs w:val="26"/>
        </w:rPr>
        <w:br/>
        <w:t xml:space="preserve">na inwestycje roczne i wieloletnie (przedsięwzięcia). W przypadku wprowadzania nowego zadania inwestycyjnego rocznego, nowego przedsięwzięcia lub w przypadku zmiany nazwy, należy we wniosku zamieścić stosowną adnotację (nowe zadanie roczne/przedsięwzięcie, zmiana nazwy zadania rocznego/przedsięwzięcia, zmiana realizacji zadania z rocznego na przedsięwzięcie wieloletnie); </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nazwy przedsięwzięć i innych zadań wykonywanych przez poszczególne jednostki budżetowe/departamenty powinny być zgodne z wnioskiem lub (</w:t>
      </w:r>
      <w:proofErr w:type="spellStart"/>
      <w:r w:rsidRPr="00EB0D8D">
        <w:rPr>
          <w:rFonts w:ascii="Times New Roman" w:hAnsi="Times New Roman"/>
          <w:sz w:val="26"/>
          <w:szCs w:val="26"/>
        </w:rPr>
        <w:t>pre</w:t>
      </w:r>
      <w:proofErr w:type="spellEnd"/>
      <w:r w:rsidRPr="00EB0D8D">
        <w:rPr>
          <w:rFonts w:ascii="Times New Roman" w:hAnsi="Times New Roman"/>
          <w:sz w:val="26"/>
          <w:szCs w:val="26"/>
        </w:rPr>
        <w:t xml:space="preserve">)umową o dofinansowanie ze środków Unii Europejskiej i innych źródeł zagranicznych oraz zgłoszeniem do zamówień publicznych. Nazwy danego zadania/przedsięwzięcia muszą być jednakowe we wszystkich załącznikach podłączonych do wniosku; </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dokonania w budżecie/wieloletniej prognozie finansowej zmian związanych z udzieleniem/przyjęciem dotacji niezbędne jest dołączenie kserokopii dokumentów źródłowych (w zależności od rodzaju dotacji). W razie przyjęcia/udzielenia dotacji z tytułu pomocy finansowej należy określić dokładną nazwę zadania/przedsięwzięcia, kwotę, klasyfikację budżetową, dołączyć kserokopię uchwały organu stanowiącego j.s.t. o udzieleniu pomocy finansowej/projektu uchwały, gdy mają być podjęte równocześnie z uchwałą w sprawie zmian w budżecie/. Nazwy zadań/przedsięwzięć powinny być tożsame; </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celu wprowadzenia nowego zadania/przedsięwzięcia wymagana jest forma pisemna i elektroniczna. W piśmie należy określić dział, rozdział, paragraf, źródło finansowania, nazwę zadania/przedsięwzięcia, nazwę programu unijnego i działania o ile występuje, okres realizacji i cel zadania/przedsięwzięcia. </w:t>
      </w:r>
      <w:r w:rsidRPr="00EB0D8D">
        <w:rPr>
          <w:rFonts w:ascii="Times New Roman" w:hAnsi="Times New Roman"/>
          <w:sz w:val="26"/>
          <w:szCs w:val="26"/>
        </w:rPr>
        <w:lastRenderedPageBreak/>
        <w:t xml:space="preserve">W przypadku nowego zadania rocznego pismo należy przesłać na adres </w:t>
      </w:r>
      <w:hyperlink r:id="rId6" w:history="1">
        <w:r w:rsidRPr="00EB0D8D">
          <w:rPr>
            <w:rStyle w:val="Hipercze"/>
            <w:rFonts w:ascii="Times New Roman" w:hAnsi="Times New Roman"/>
            <w:sz w:val="26"/>
            <w:szCs w:val="26"/>
          </w:rPr>
          <w:t>planowanie@sejmik.kielce.pl</w:t>
        </w:r>
      </w:hyperlink>
      <w:r w:rsidRPr="00EB0D8D">
        <w:rPr>
          <w:rFonts w:ascii="Times New Roman" w:hAnsi="Times New Roman"/>
          <w:sz w:val="26"/>
          <w:szCs w:val="26"/>
        </w:rPr>
        <w:t xml:space="preserve">, natomiast w przypadku przedsięwzięcia wieloletniego na adres </w:t>
      </w:r>
      <w:hyperlink r:id="rId7" w:history="1">
        <w:r w:rsidRPr="00EB0D8D">
          <w:rPr>
            <w:rStyle w:val="Hipercze"/>
            <w:rFonts w:ascii="Times New Roman" w:hAnsi="Times New Roman"/>
            <w:sz w:val="26"/>
            <w:szCs w:val="26"/>
          </w:rPr>
          <w:t>Wnioski_WPF@sejmik.kielce.pl</w:t>
        </w:r>
      </w:hyperlink>
      <w:r w:rsidRPr="00EB0D8D">
        <w:rPr>
          <w:rFonts w:ascii="Times New Roman" w:hAnsi="Times New Roman"/>
          <w:sz w:val="26"/>
          <w:szCs w:val="26"/>
        </w:rPr>
        <w:t>;</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braku odpowiedniego paragrafu w planie kont niezbędnego </w:t>
      </w:r>
      <w:r w:rsidRPr="00EB0D8D">
        <w:rPr>
          <w:rFonts w:ascii="Times New Roman" w:hAnsi="Times New Roman"/>
          <w:sz w:val="26"/>
          <w:szCs w:val="26"/>
        </w:rPr>
        <w:br/>
        <w:t xml:space="preserve">do sporządzenia załączników do wniosku, departament sporządzający wniosek zwraca się drogą e-mailową na adres </w:t>
      </w:r>
      <w:hyperlink r:id="rId8" w:history="1">
        <w:r w:rsidRPr="00EB0D8D">
          <w:rPr>
            <w:rStyle w:val="Hipercze"/>
            <w:rFonts w:ascii="Times New Roman" w:hAnsi="Times New Roman"/>
            <w:sz w:val="26"/>
            <w:szCs w:val="26"/>
          </w:rPr>
          <w:t>planowanie@sejmik.kielce.pl</w:t>
        </w:r>
      </w:hyperlink>
      <w:r w:rsidRPr="00EB0D8D">
        <w:rPr>
          <w:rFonts w:ascii="Times New Roman" w:hAnsi="Times New Roman"/>
          <w:sz w:val="26"/>
          <w:szCs w:val="26"/>
        </w:rPr>
        <w:t xml:space="preserve"> o jego utworzenie. W tym celu niezbędne jest dokładne określenie przez wnioskujący Departament działu, rozdziału, paragrafu, źródła finansowania i o ile występuje nazwy programu unijnego, działania, zadania inwestycyjnego rocznego/przedsięwzięcia, w przypadku zadań z zakresu administracji rządowej finansowanych z dotacji z budżetu państwa, czy zadań realizowanych wspólnie z innymi j.s.t. - paragrafu powiązanego, natomiast w przypadku zwrotów dotacji określenie czy dotyczy projektu własnego czy realizowanego przez beneficjenta. Po otrzymaniu konta, należy go wprowadzić do swojej bazy, dokonać weryfikacji zgodności nazw, a następnie przesłać do departamentu koordynującego (w przypadku paragrafów dotyczących programów unijnych);</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zmian w dochodach w programie </w:t>
      </w:r>
      <w:proofErr w:type="spellStart"/>
      <w:r w:rsidRPr="00EB0D8D">
        <w:rPr>
          <w:rFonts w:ascii="Times New Roman" w:hAnsi="Times New Roman"/>
          <w:sz w:val="26"/>
          <w:szCs w:val="26"/>
        </w:rPr>
        <w:t>ProKomp</w:t>
      </w:r>
      <w:proofErr w:type="spellEnd"/>
      <w:r w:rsidRPr="00EB0D8D">
        <w:rPr>
          <w:rFonts w:ascii="Times New Roman" w:hAnsi="Times New Roman"/>
          <w:sz w:val="26"/>
          <w:szCs w:val="26"/>
        </w:rPr>
        <w:t xml:space="preserve"> należy dokonywać według załączników:</w:t>
      </w:r>
    </w:p>
    <w:p w:rsidR="00125D89" w:rsidRPr="00EB0D8D" w:rsidRDefault="00125D89" w:rsidP="00125D89">
      <w:pPr>
        <w:pStyle w:val="Akapitzlist1"/>
        <w:numPr>
          <w:ilvl w:val="2"/>
          <w:numId w:val="7"/>
        </w:numPr>
        <w:tabs>
          <w:tab w:val="left" w:pos="993"/>
        </w:tabs>
        <w:autoSpaceDE w:val="0"/>
        <w:autoSpaceDN w:val="0"/>
        <w:adjustRightInd w:val="0"/>
        <w:ind w:left="993" w:hanging="284"/>
        <w:jc w:val="both"/>
        <w:rPr>
          <w:rFonts w:ascii="Times New Roman" w:hAnsi="Times New Roman"/>
          <w:sz w:val="26"/>
          <w:szCs w:val="26"/>
        </w:rPr>
      </w:pPr>
      <w:r w:rsidRPr="00EB0D8D">
        <w:rPr>
          <w:rFonts w:ascii="Times New Roman" w:hAnsi="Times New Roman"/>
          <w:sz w:val="26"/>
          <w:szCs w:val="26"/>
        </w:rPr>
        <w:t>Nr 1 do wniosku - w module „</w:t>
      </w:r>
      <w:bookmarkStart w:id="2" w:name="_Hlk500852686"/>
      <w:r w:rsidRPr="00EB0D8D">
        <w:rPr>
          <w:rFonts w:ascii="Times New Roman" w:hAnsi="Times New Roman"/>
          <w:sz w:val="26"/>
          <w:szCs w:val="26"/>
        </w:rPr>
        <w:t>Planowanie</w:t>
      </w:r>
      <w:bookmarkEnd w:id="2"/>
      <w:r w:rsidRPr="00EB0D8D">
        <w:rPr>
          <w:rFonts w:ascii="Times New Roman" w:hAnsi="Times New Roman"/>
          <w:sz w:val="26"/>
          <w:szCs w:val="26"/>
        </w:rPr>
        <w:t xml:space="preserve">”; </w:t>
      </w:r>
    </w:p>
    <w:p w:rsidR="00125D89" w:rsidRPr="00EB0D8D" w:rsidRDefault="00125D89" w:rsidP="00125D89">
      <w:pPr>
        <w:pStyle w:val="Akapitzlist1"/>
        <w:numPr>
          <w:ilvl w:val="2"/>
          <w:numId w:val="7"/>
        </w:numPr>
        <w:tabs>
          <w:tab w:val="left" w:pos="993"/>
        </w:tabs>
        <w:autoSpaceDE w:val="0"/>
        <w:autoSpaceDN w:val="0"/>
        <w:adjustRightInd w:val="0"/>
        <w:ind w:left="993" w:hanging="284"/>
        <w:jc w:val="both"/>
        <w:rPr>
          <w:rFonts w:ascii="Times New Roman" w:hAnsi="Times New Roman"/>
          <w:sz w:val="26"/>
          <w:szCs w:val="26"/>
        </w:rPr>
      </w:pPr>
      <w:r w:rsidRPr="00EB0D8D">
        <w:rPr>
          <w:rFonts w:ascii="Times New Roman" w:hAnsi="Times New Roman"/>
          <w:sz w:val="26"/>
          <w:szCs w:val="26"/>
        </w:rPr>
        <w:t xml:space="preserve">Nr 3 i 3a do wniosku - </w:t>
      </w:r>
      <w:bookmarkStart w:id="3" w:name="_Hlk501445124"/>
      <w:r w:rsidRPr="00EB0D8D">
        <w:rPr>
          <w:rFonts w:ascii="Times New Roman" w:hAnsi="Times New Roman"/>
          <w:sz w:val="26"/>
          <w:szCs w:val="26"/>
        </w:rPr>
        <w:t>w module „WPF”</w:t>
      </w:r>
      <w:bookmarkEnd w:id="3"/>
      <w:r w:rsidRPr="00EB0D8D">
        <w:rPr>
          <w:rFonts w:ascii="Times New Roman" w:hAnsi="Times New Roman"/>
          <w:sz w:val="26"/>
          <w:szCs w:val="26"/>
        </w:rPr>
        <w:t>;</w:t>
      </w:r>
    </w:p>
    <w:p w:rsidR="00125D89" w:rsidRPr="00EB0D8D" w:rsidRDefault="00125D89" w:rsidP="00125D89">
      <w:pPr>
        <w:pStyle w:val="Akapitzlist1"/>
        <w:numPr>
          <w:ilvl w:val="0"/>
          <w:numId w:val="7"/>
        </w:numPr>
        <w:tabs>
          <w:tab w:val="left" w:pos="993"/>
        </w:tabs>
        <w:spacing w:after="200"/>
        <w:jc w:val="both"/>
        <w:rPr>
          <w:rFonts w:ascii="Times New Roman" w:hAnsi="Times New Roman"/>
          <w:sz w:val="26"/>
          <w:szCs w:val="26"/>
        </w:rPr>
      </w:pPr>
      <w:r w:rsidRPr="00EB0D8D">
        <w:rPr>
          <w:rFonts w:ascii="Times New Roman" w:hAnsi="Times New Roman"/>
          <w:sz w:val="26"/>
          <w:szCs w:val="26"/>
        </w:rPr>
        <w:t xml:space="preserve"> zmian w wydatkach w programie </w:t>
      </w:r>
      <w:proofErr w:type="spellStart"/>
      <w:r w:rsidRPr="00EB0D8D">
        <w:rPr>
          <w:rFonts w:ascii="Times New Roman" w:hAnsi="Times New Roman"/>
          <w:sz w:val="26"/>
          <w:szCs w:val="26"/>
        </w:rPr>
        <w:t>ProKomp</w:t>
      </w:r>
      <w:proofErr w:type="spellEnd"/>
      <w:r w:rsidRPr="00EB0D8D">
        <w:rPr>
          <w:rFonts w:ascii="Times New Roman" w:hAnsi="Times New Roman"/>
          <w:sz w:val="26"/>
          <w:szCs w:val="26"/>
        </w:rPr>
        <w:t xml:space="preserve"> należy dokonywać według załączników:</w:t>
      </w:r>
    </w:p>
    <w:p w:rsidR="00125D89" w:rsidRPr="00EB0D8D" w:rsidRDefault="00125D89" w:rsidP="00125D89">
      <w:pPr>
        <w:pStyle w:val="Akapitzlist1"/>
        <w:ind w:left="993" w:hanging="284"/>
        <w:jc w:val="both"/>
        <w:rPr>
          <w:rFonts w:ascii="Times New Roman" w:hAnsi="Times New Roman"/>
          <w:sz w:val="26"/>
          <w:szCs w:val="26"/>
        </w:rPr>
      </w:pPr>
      <w:r w:rsidRPr="00EB0D8D">
        <w:rPr>
          <w:rFonts w:ascii="Times New Roman" w:hAnsi="Times New Roman"/>
          <w:sz w:val="26"/>
          <w:szCs w:val="26"/>
        </w:rPr>
        <w:t>a)</w:t>
      </w:r>
      <w:r w:rsidRPr="00EB0D8D">
        <w:rPr>
          <w:rFonts w:ascii="Times New Roman" w:hAnsi="Times New Roman"/>
          <w:sz w:val="26"/>
          <w:szCs w:val="26"/>
        </w:rPr>
        <w:tab/>
        <w:t>Nr 2 do wniosku - w module „Planowanie”;</w:t>
      </w:r>
    </w:p>
    <w:p w:rsidR="00125D89" w:rsidRPr="00EB0D8D" w:rsidRDefault="00125D89" w:rsidP="00125D89">
      <w:pPr>
        <w:pStyle w:val="Akapitzlist1"/>
        <w:ind w:left="993" w:hanging="284"/>
        <w:jc w:val="both"/>
        <w:rPr>
          <w:rFonts w:ascii="Times New Roman" w:hAnsi="Times New Roman"/>
          <w:sz w:val="26"/>
          <w:szCs w:val="26"/>
        </w:rPr>
      </w:pPr>
      <w:r w:rsidRPr="00EB0D8D">
        <w:rPr>
          <w:rFonts w:ascii="Times New Roman" w:hAnsi="Times New Roman"/>
          <w:sz w:val="26"/>
          <w:szCs w:val="26"/>
        </w:rPr>
        <w:t>b)</w:t>
      </w:r>
      <w:r w:rsidRPr="00EB0D8D">
        <w:rPr>
          <w:rFonts w:ascii="Times New Roman" w:hAnsi="Times New Roman"/>
          <w:sz w:val="26"/>
          <w:szCs w:val="26"/>
        </w:rPr>
        <w:tab/>
        <w:t>Nr 4 i 4a do wniosku - w module „WPF”;</w:t>
      </w:r>
    </w:p>
    <w:p w:rsidR="00125D89" w:rsidRPr="00EB0D8D" w:rsidRDefault="00125D89" w:rsidP="00125D89">
      <w:pPr>
        <w:pStyle w:val="Akapitzlist1"/>
        <w:ind w:left="993" w:hanging="284"/>
        <w:jc w:val="both"/>
        <w:rPr>
          <w:rFonts w:ascii="Times New Roman" w:hAnsi="Times New Roman"/>
          <w:sz w:val="26"/>
          <w:szCs w:val="26"/>
        </w:rPr>
      </w:pPr>
      <w:r w:rsidRPr="00EB0D8D">
        <w:rPr>
          <w:rFonts w:ascii="Times New Roman" w:hAnsi="Times New Roman"/>
          <w:sz w:val="26"/>
          <w:szCs w:val="26"/>
        </w:rPr>
        <w:t>c)</w:t>
      </w:r>
      <w:r w:rsidRPr="00EB0D8D">
        <w:rPr>
          <w:rFonts w:ascii="Times New Roman" w:hAnsi="Times New Roman"/>
          <w:sz w:val="26"/>
          <w:szCs w:val="26"/>
        </w:rPr>
        <w:tab/>
        <w:t>Nr 5 do wniosku „Wykaz przedsięwzięć – przed zmianą” - w  module „WPF”;</w:t>
      </w:r>
    </w:p>
    <w:p w:rsidR="00125D89" w:rsidRPr="00EB0D8D" w:rsidRDefault="00125D89" w:rsidP="00125D89">
      <w:pPr>
        <w:pStyle w:val="Akapitzlist1"/>
        <w:tabs>
          <w:tab w:val="left" w:pos="1418"/>
        </w:tabs>
        <w:ind w:left="993" w:hanging="284"/>
        <w:jc w:val="both"/>
        <w:rPr>
          <w:rFonts w:ascii="Times New Roman" w:hAnsi="Times New Roman"/>
          <w:sz w:val="26"/>
          <w:szCs w:val="26"/>
        </w:rPr>
      </w:pPr>
      <w:r w:rsidRPr="00EB0D8D">
        <w:rPr>
          <w:rFonts w:ascii="Times New Roman" w:hAnsi="Times New Roman"/>
          <w:sz w:val="26"/>
          <w:szCs w:val="26"/>
        </w:rPr>
        <w:t>d)</w:t>
      </w:r>
      <w:r w:rsidRPr="00EB0D8D">
        <w:rPr>
          <w:rFonts w:ascii="Times New Roman" w:hAnsi="Times New Roman"/>
          <w:sz w:val="26"/>
          <w:szCs w:val="26"/>
        </w:rPr>
        <w:tab/>
        <w:t>Nr 6 do wniosku „Wykaz przedsięwzięć – zmiana” - w module „WPF”;</w:t>
      </w:r>
    </w:p>
    <w:p w:rsidR="00125D89" w:rsidRPr="00EB0D8D" w:rsidRDefault="00125D89" w:rsidP="00125D89">
      <w:pPr>
        <w:pStyle w:val="Akapitzlist1"/>
        <w:tabs>
          <w:tab w:val="left" w:pos="1418"/>
        </w:tabs>
        <w:ind w:left="993" w:hanging="284"/>
        <w:jc w:val="both"/>
        <w:rPr>
          <w:rFonts w:ascii="Times New Roman" w:hAnsi="Times New Roman"/>
          <w:sz w:val="26"/>
          <w:szCs w:val="26"/>
        </w:rPr>
      </w:pPr>
      <w:r w:rsidRPr="00EB0D8D">
        <w:rPr>
          <w:rFonts w:ascii="Times New Roman" w:hAnsi="Times New Roman"/>
          <w:sz w:val="26"/>
          <w:szCs w:val="26"/>
        </w:rPr>
        <w:t>e)</w:t>
      </w:r>
      <w:r w:rsidRPr="00EB0D8D">
        <w:rPr>
          <w:rFonts w:ascii="Times New Roman" w:hAnsi="Times New Roman"/>
          <w:sz w:val="26"/>
          <w:szCs w:val="26"/>
        </w:rPr>
        <w:tab/>
        <w:t>Nr 7 do wniosku „Wykaz przedsięwzięć – po zmianie” - w module „WPF”;</w:t>
      </w:r>
    </w:p>
    <w:p w:rsidR="00125D89" w:rsidRPr="00EB0D8D" w:rsidRDefault="00125D89" w:rsidP="00125D89">
      <w:pPr>
        <w:pStyle w:val="Akapitzlist1"/>
        <w:numPr>
          <w:ilvl w:val="0"/>
          <w:numId w:val="7"/>
        </w:numPr>
        <w:tabs>
          <w:tab w:val="left" w:pos="1418"/>
        </w:tabs>
        <w:spacing w:after="200"/>
        <w:jc w:val="both"/>
        <w:rPr>
          <w:rFonts w:ascii="Times New Roman" w:hAnsi="Times New Roman"/>
          <w:sz w:val="26"/>
          <w:szCs w:val="26"/>
        </w:rPr>
      </w:pPr>
      <w:r w:rsidRPr="00EB0D8D">
        <w:rPr>
          <w:rFonts w:ascii="Times New Roman" w:hAnsi="Times New Roman"/>
          <w:sz w:val="26"/>
          <w:szCs w:val="26"/>
        </w:rPr>
        <w:t xml:space="preserve">zmian zaangażowania (załącznik Nr 8 do wniosku) należy dokonywać </w:t>
      </w:r>
      <w:r w:rsidRPr="00EB0D8D">
        <w:rPr>
          <w:rFonts w:ascii="Times New Roman" w:hAnsi="Times New Roman"/>
          <w:sz w:val="26"/>
          <w:szCs w:val="26"/>
        </w:rPr>
        <w:br/>
        <w:t xml:space="preserve">w programie </w:t>
      </w:r>
      <w:proofErr w:type="spellStart"/>
      <w:r w:rsidRPr="00EB0D8D">
        <w:rPr>
          <w:rFonts w:ascii="Times New Roman" w:hAnsi="Times New Roman"/>
          <w:sz w:val="26"/>
          <w:szCs w:val="26"/>
        </w:rPr>
        <w:t>ProKomp</w:t>
      </w:r>
      <w:proofErr w:type="spellEnd"/>
      <w:r w:rsidRPr="00EB0D8D">
        <w:rPr>
          <w:rFonts w:ascii="Times New Roman" w:hAnsi="Times New Roman"/>
          <w:sz w:val="26"/>
          <w:szCs w:val="26"/>
        </w:rPr>
        <w:t xml:space="preserve"> w module „Wymiana danych”;</w:t>
      </w:r>
    </w:p>
    <w:p w:rsidR="00125D89" w:rsidRPr="00EB0D8D" w:rsidRDefault="00125D89" w:rsidP="00125D89">
      <w:pPr>
        <w:pStyle w:val="Akapitzlist1"/>
        <w:numPr>
          <w:ilvl w:val="0"/>
          <w:numId w:val="7"/>
        </w:numPr>
        <w:tabs>
          <w:tab w:val="left" w:pos="1418"/>
        </w:tabs>
        <w:spacing w:after="200"/>
        <w:jc w:val="both"/>
        <w:rPr>
          <w:rFonts w:ascii="Times New Roman" w:hAnsi="Times New Roman"/>
          <w:sz w:val="26"/>
          <w:szCs w:val="26"/>
        </w:rPr>
      </w:pPr>
      <w:r w:rsidRPr="00EB0D8D">
        <w:rPr>
          <w:rFonts w:ascii="Times New Roman" w:hAnsi="Times New Roman"/>
          <w:sz w:val="26"/>
          <w:szCs w:val="26"/>
        </w:rPr>
        <w:t>w opisie załączników Nr 3, 3a, 4, 4a generowanych w module „WPF” powinny zostać zawarte następujące informacje: nazwa departamentu realizującego, nr kolejnego wniosku, określenie lat, w których dokonywane są zmiany, nazwa jednostki oraz określenie zmiany DOCHODY  lub WYDATKI</w:t>
      </w:r>
    </w:p>
    <w:p w:rsidR="00125D89" w:rsidRPr="00EB0D8D" w:rsidRDefault="00125D89" w:rsidP="00125D89">
      <w:pPr>
        <w:pStyle w:val="Akapitzlist1"/>
        <w:tabs>
          <w:tab w:val="left" w:pos="1418"/>
        </w:tabs>
        <w:jc w:val="both"/>
        <w:rPr>
          <w:rFonts w:ascii="Times New Roman" w:hAnsi="Times New Roman"/>
          <w:sz w:val="26"/>
          <w:szCs w:val="26"/>
        </w:rPr>
      </w:pPr>
      <w:bookmarkStart w:id="4" w:name="_Hlk502668419"/>
      <w:r w:rsidRPr="00EB0D8D">
        <w:rPr>
          <w:rFonts w:ascii="Times New Roman" w:hAnsi="Times New Roman"/>
          <w:sz w:val="26"/>
          <w:szCs w:val="26"/>
          <w:u w:val="single"/>
        </w:rPr>
        <w:t>przykład</w:t>
      </w:r>
      <w:r w:rsidRPr="00EB0D8D">
        <w:rPr>
          <w:rFonts w:ascii="Times New Roman" w:hAnsi="Times New Roman"/>
          <w:sz w:val="26"/>
          <w:szCs w:val="26"/>
        </w:rPr>
        <w:t xml:space="preserve">:  </w:t>
      </w:r>
      <w:r w:rsidR="00D82FAF">
        <w:rPr>
          <w:rFonts w:ascii="Times New Roman" w:hAnsi="Times New Roman"/>
          <w:sz w:val="26"/>
          <w:szCs w:val="26"/>
        </w:rPr>
        <w:t>C</w:t>
      </w:r>
      <w:r w:rsidRPr="00EB0D8D">
        <w:rPr>
          <w:rFonts w:ascii="Times New Roman" w:hAnsi="Times New Roman"/>
          <w:sz w:val="26"/>
          <w:szCs w:val="26"/>
        </w:rPr>
        <w:t>GP.1.201</w:t>
      </w:r>
      <w:r w:rsidR="00D82FAF">
        <w:rPr>
          <w:rFonts w:ascii="Times New Roman" w:hAnsi="Times New Roman"/>
          <w:sz w:val="26"/>
          <w:szCs w:val="26"/>
        </w:rPr>
        <w:t>9</w:t>
      </w:r>
      <w:r w:rsidRPr="00EB0D8D">
        <w:rPr>
          <w:rFonts w:ascii="Times New Roman" w:hAnsi="Times New Roman"/>
          <w:sz w:val="26"/>
          <w:szCs w:val="26"/>
        </w:rPr>
        <w:t xml:space="preserve">-2020.ŚBRR_DOCHODY, </w:t>
      </w:r>
      <w:r w:rsidRPr="00EB0D8D" w:rsidDel="004A2CAA">
        <w:rPr>
          <w:rFonts w:ascii="Times New Roman" w:hAnsi="Times New Roman"/>
          <w:sz w:val="26"/>
          <w:szCs w:val="26"/>
        </w:rPr>
        <w:t xml:space="preserve"> </w:t>
      </w:r>
    </w:p>
    <w:p w:rsidR="00125D89" w:rsidRPr="00EB0D8D" w:rsidRDefault="00125D89" w:rsidP="00125D89">
      <w:pPr>
        <w:pStyle w:val="Akapitzlist1"/>
        <w:tabs>
          <w:tab w:val="left" w:pos="1418"/>
        </w:tabs>
        <w:jc w:val="both"/>
        <w:rPr>
          <w:rFonts w:ascii="Times New Roman" w:hAnsi="Times New Roman"/>
          <w:sz w:val="26"/>
          <w:szCs w:val="26"/>
        </w:rPr>
      </w:pPr>
      <w:r w:rsidRPr="00EB0D8D">
        <w:rPr>
          <w:rFonts w:ascii="Times New Roman" w:hAnsi="Times New Roman"/>
          <w:sz w:val="26"/>
          <w:szCs w:val="26"/>
        </w:rPr>
        <w:t xml:space="preserve">                   </w:t>
      </w:r>
      <w:r w:rsidR="00D82FAF">
        <w:rPr>
          <w:rFonts w:ascii="Times New Roman" w:hAnsi="Times New Roman"/>
          <w:sz w:val="26"/>
          <w:szCs w:val="26"/>
        </w:rPr>
        <w:t>C</w:t>
      </w:r>
      <w:r w:rsidRPr="00EB0D8D">
        <w:rPr>
          <w:rFonts w:ascii="Times New Roman" w:hAnsi="Times New Roman"/>
          <w:sz w:val="26"/>
          <w:szCs w:val="26"/>
        </w:rPr>
        <w:t>GP.1. 201</w:t>
      </w:r>
      <w:r w:rsidR="00D82FAF">
        <w:rPr>
          <w:rFonts w:ascii="Times New Roman" w:hAnsi="Times New Roman"/>
          <w:sz w:val="26"/>
          <w:szCs w:val="26"/>
        </w:rPr>
        <w:t>9</w:t>
      </w:r>
      <w:r w:rsidRPr="00EB0D8D">
        <w:rPr>
          <w:rFonts w:ascii="Times New Roman" w:hAnsi="Times New Roman"/>
          <w:sz w:val="26"/>
          <w:szCs w:val="26"/>
        </w:rPr>
        <w:t xml:space="preserve">.ŚBRR_WYDATKI; </w:t>
      </w:r>
      <w:bookmarkEnd w:id="4"/>
    </w:p>
    <w:p w:rsidR="00125D89" w:rsidRPr="00EB0D8D" w:rsidRDefault="00125D89" w:rsidP="00125D89">
      <w:pPr>
        <w:pStyle w:val="Akapitzlist1"/>
        <w:numPr>
          <w:ilvl w:val="0"/>
          <w:numId w:val="7"/>
        </w:numPr>
        <w:tabs>
          <w:tab w:val="left" w:pos="1418"/>
        </w:tabs>
        <w:spacing w:after="200"/>
        <w:jc w:val="both"/>
        <w:rPr>
          <w:rFonts w:ascii="Times New Roman" w:hAnsi="Times New Roman"/>
          <w:sz w:val="26"/>
          <w:szCs w:val="26"/>
        </w:rPr>
      </w:pPr>
      <w:r w:rsidRPr="00EB0D8D">
        <w:rPr>
          <w:rFonts w:ascii="Times New Roman" w:hAnsi="Times New Roman"/>
          <w:sz w:val="26"/>
          <w:szCs w:val="26"/>
        </w:rPr>
        <w:t>propozycje zmian dochodów i wydatków podaje się w szczegółowości aktualnie obowiązującej klasyfikacji budżetowej, wynikającej z rozporządzenia Ministra Finansów wydanego na podstawie art. 39 ust. 4 ustawy o finansach publicznych (dział, rozdział, paragraf), określając dodatkowo podzadanie i sektor dotacji.</w:t>
      </w:r>
    </w:p>
    <w:p w:rsidR="00125D89" w:rsidRPr="00EB0D8D" w:rsidRDefault="00125D89" w:rsidP="00125D89">
      <w:pPr>
        <w:pStyle w:val="Akapitzlist1"/>
        <w:tabs>
          <w:tab w:val="left" w:pos="709"/>
        </w:tabs>
        <w:autoSpaceDE w:val="0"/>
        <w:autoSpaceDN w:val="0"/>
        <w:adjustRightInd w:val="0"/>
        <w:ind w:left="709" w:hanging="943"/>
        <w:jc w:val="both"/>
        <w:rPr>
          <w:rFonts w:ascii="Times New Roman" w:hAnsi="Times New Roman"/>
          <w:sz w:val="26"/>
          <w:szCs w:val="26"/>
        </w:rPr>
      </w:pPr>
      <w:r w:rsidRPr="00EB0D8D">
        <w:rPr>
          <w:rFonts w:ascii="Times New Roman" w:hAnsi="Times New Roman"/>
          <w:sz w:val="26"/>
          <w:szCs w:val="26"/>
        </w:rPr>
        <w:tab/>
        <w:t xml:space="preserve">Przy dokonywaniu zmian w budżecie/wieloletniej prognozie finansowej należy stosować podane w programie   firmy </w:t>
      </w:r>
      <w:proofErr w:type="spellStart"/>
      <w:r w:rsidRPr="00EB0D8D">
        <w:rPr>
          <w:rFonts w:ascii="Times New Roman" w:hAnsi="Times New Roman"/>
          <w:sz w:val="26"/>
          <w:szCs w:val="26"/>
        </w:rPr>
        <w:t>ProKomp</w:t>
      </w:r>
      <w:proofErr w:type="spellEnd"/>
      <w:r w:rsidRPr="00EB0D8D">
        <w:rPr>
          <w:rFonts w:ascii="Times New Roman" w:hAnsi="Times New Roman"/>
          <w:sz w:val="26"/>
          <w:szCs w:val="26"/>
        </w:rPr>
        <w:t xml:space="preserve"> symbole, które oznaczają:</w:t>
      </w:r>
    </w:p>
    <w:p w:rsidR="00125D89" w:rsidRPr="00EB0D8D" w:rsidRDefault="00125D89" w:rsidP="00125D89">
      <w:pPr>
        <w:pStyle w:val="Akapitzlist1"/>
        <w:tabs>
          <w:tab w:val="left" w:pos="993"/>
          <w:tab w:val="left" w:pos="1134"/>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- 01 – wydatki kwalifikowalne z UE</w:t>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- 02 – wydatki kwalifikowalne z budżetu państwa</w:t>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- 03 -  wydatki kwalifikowalne z budżetu j.s.t.</w:t>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lastRenderedPageBreak/>
        <w:t>- 04 – wydatki niekwalifikowalne z budżetu j.s.t.</w:t>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- 05 – inne źródła zagraniczne</w:t>
      </w:r>
    </w:p>
    <w:p w:rsidR="00125D89" w:rsidRPr="00EB0D8D" w:rsidRDefault="00125D89" w:rsidP="00125D89">
      <w:pPr>
        <w:pStyle w:val="Akapitzlist1"/>
        <w:tabs>
          <w:tab w:val="left" w:pos="993"/>
        </w:tabs>
        <w:autoSpaceDE w:val="0"/>
        <w:autoSpaceDN w:val="0"/>
        <w:adjustRightInd w:val="0"/>
        <w:ind w:left="709"/>
        <w:jc w:val="both"/>
        <w:rPr>
          <w:rFonts w:ascii="Times New Roman" w:hAnsi="Times New Roman"/>
          <w:sz w:val="26"/>
          <w:szCs w:val="26"/>
        </w:rPr>
      </w:pPr>
      <w:r w:rsidRPr="00EB0D8D">
        <w:rPr>
          <w:rFonts w:ascii="Times New Roman" w:hAnsi="Times New Roman"/>
          <w:sz w:val="26"/>
          <w:szCs w:val="26"/>
        </w:rPr>
        <w:t>- 06 – kredyty i pożyczki (dotyczy tylko paragrafów z czwartą cyfrą finansowania „0”)</w:t>
      </w:r>
    </w:p>
    <w:p w:rsidR="00125D89" w:rsidRPr="00EB0D8D" w:rsidRDefault="00125D89" w:rsidP="00125D89">
      <w:pPr>
        <w:pStyle w:val="Akapitzlist1"/>
        <w:tabs>
          <w:tab w:val="left" w:pos="993"/>
          <w:tab w:val="left" w:pos="5715"/>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- 07 – trwałość projektu – budżet j.s.t.</w:t>
      </w:r>
      <w:r w:rsidRPr="00EB0D8D">
        <w:rPr>
          <w:rFonts w:ascii="Times New Roman" w:hAnsi="Times New Roman"/>
          <w:sz w:val="26"/>
          <w:szCs w:val="26"/>
        </w:rPr>
        <w:tab/>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- 08 – wydatki niekwalifikowalne z budżetu państwa</w:t>
      </w:r>
    </w:p>
    <w:p w:rsidR="00125D89" w:rsidRPr="00EB0D8D" w:rsidRDefault="00125D89" w:rsidP="00125D89">
      <w:pPr>
        <w:pStyle w:val="Akapitzlist1"/>
        <w:tabs>
          <w:tab w:val="left" w:pos="993"/>
          <w:tab w:val="left" w:pos="1276"/>
        </w:tabs>
        <w:autoSpaceDE w:val="0"/>
        <w:autoSpaceDN w:val="0"/>
        <w:adjustRightInd w:val="0"/>
        <w:ind w:left="1701" w:hanging="992"/>
        <w:jc w:val="both"/>
        <w:rPr>
          <w:rFonts w:ascii="Times New Roman" w:hAnsi="Times New Roman"/>
          <w:sz w:val="26"/>
          <w:szCs w:val="26"/>
        </w:rPr>
      </w:pPr>
      <w:r w:rsidRPr="00EB0D8D">
        <w:rPr>
          <w:rFonts w:ascii="Times New Roman" w:hAnsi="Times New Roman"/>
          <w:sz w:val="26"/>
          <w:szCs w:val="26"/>
        </w:rPr>
        <w:t>- 09 – kredyty i pożyczki - wydatki niekwalifikowalne z budżetu j.s.t. (dotyczy programów unijnych)</w:t>
      </w:r>
    </w:p>
    <w:p w:rsidR="00125D89" w:rsidRPr="00EB0D8D" w:rsidRDefault="00125D89" w:rsidP="00125D89">
      <w:pPr>
        <w:pStyle w:val="Akapitzlist1"/>
        <w:tabs>
          <w:tab w:val="left" w:pos="993"/>
        </w:tabs>
        <w:autoSpaceDE w:val="0"/>
        <w:autoSpaceDN w:val="0"/>
        <w:adjustRightInd w:val="0"/>
        <w:ind w:left="1560" w:hanging="851"/>
        <w:jc w:val="both"/>
        <w:rPr>
          <w:rFonts w:ascii="Times New Roman" w:hAnsi="Times New Roman"/>
          <w:sz w:val="26"/>
          <w:szCs w:val="26"/>
        </w:rPr>
      </w:pPr>
      <w:r w:rsidRPr="00EB0D8D">
        <w:rPr>
          <w:rFonts w:ascii="Times New Roman" w:hAnsi="Times New Roman"/>
          <w:sz w:val="26"/>
          <w:szCs w:val="26"/>
        </w:rPr>
        <w:t xml:space="preserve">- 10 –kredyty i pożyczki - wydatki kwalifikowalne z budżetu j.s.t. </w:t>
      </w:r>
      <w:r w:rsidRPr="00EB0D8D">
        <w:rPr>
          <w:rFonts w:ascii="Times New Roman" w:hAnsi="Times New Roman"/>
          <w:sz w:val="26"/>
          <w:szCs w:val="26"/>
        </w:rPr>
        <w:br/>
        <w:t>(dotyczy programów unijnych)</w:t>
      </w:r>
    </w:p>
    <w:p w:rsidR="00125D89" w:rsidRPr="00EB0D8D" w:rsidRDefault="00125D89" w:rsidP="00125D89">
      <w:pPr>
        <w:pStyle w:val="Akapitzlist1"/>
        <w:tabs>
          <w:tab w:val="left" w:pos="993"/>
        </w:tabs>
        <w:autoSpaceDE w:val="0"/>
        <w:autoSpaceDN w:val="0"/>
        <w:adjustRightInd w:val="0"/>
        <w:ind w:left="1701" w:hanging="992"/>
        <w:jc w:val="both"/>
        <w:rPr>
          <w:rFonts w:ascii="Times New Roman" w:hAnsi="Times New Roman"/>
          <w:sz w:val="26"/>
          <w:szCs w:val="26"/>
        </w:rPr>
      </w:pPr>
      <w:r w:rsidRPr="00EB0D8D">
        <w:rPr>
          <w:rFonts w:ascii="Times New Roman" w:hAnsi="Times New Roman"/>
          <w:sz w:val="26"/>
          <w:szCs w:val="26"/>
        </w:rPr>
        <w:t>- 11 – Fundusz Kolejowy (dotyczy tylko paragrafów z czwartą cyfrą finansowania „0”)</w:t>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- 12 – Fundusz Kolejowy (wydatki kwalifikowalne)</w:t>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r w:rsidRPr="00EB0D8D">
        <w:rPr>
          <w:rFonts w:ascii="Times New Roman" w:hAnsi="Times New Roman"/>
          <w:sz w:val="26"/>
          <w:szCs w:val="26"/>
        </w:rPr>
        <w:t>- 13 – Fundusz Kolejowy (wydatki niekwalifikowalne)</w:t>
      </w:r>
    </w:p>
    <w:p w:rsidR="00125D89" w:rsidRPr="00EB0D8D" w:rsidRDefault="00125D89" w:rsidP="00125D89">
      <w:pPr>
        <w:pStyle w:val="Akapitzlist1"/>
        <w:tabs>
          <w:tab w:val="left" w:pos="993"/>
        </w:tabs>
        <w:autoSpaceDE w:val="0"/>
        <w:autoSpaceDN w:val="0"/>
        <w:adjustRightInd w:val="0"/>
        <w:ind w:left="0" w:firstLine="709"/>
        <w:jc w:val="both"/>
        <w:rPr>
          <w:rFonts w:ascii="Times New Roman" w:hAnsi="Times New Roman"/>
          <w:sz w:val="26"/>
          <w:szCs w:val="26"/>
        </w:rPr>
      </w:pPr>
      <w:bookmarkStart w:id="5" w:name="_Hlk502668067"/>
      <w:r w:rsidRPr="00EB0D8D">
        <w:rPr>
          <w:rFonts w:ascii="Times New Roman" w:hAnsi="Times New Roman"/>
          <w:sz w:val="26"/>
          <w:szCs w:val="26"/>
        </w:rPr>
        <w:t xml:space="preserve">   p</w:t>
      </w:r>
      <w:r w:rsidRPr="00EB0D8D">
        <w:rPr>
          <w:rFonts w:ascii="Times New Roman" w:hAnsi="Times New Roman"/>
          <w:sz w:val="26"/>
          <w:szCs w:val="26"/>
          <w:u w:val="single"/>
        </w:rPr>
        <w:t>rzykład</w:t>
      </w:r>
      <w:r w:rsidRPr="00EB0D8D">
        <w:rPr>
          <w:rFonts w:ascii="Times New Roman" w:hAnsi="Times New Roman"/>
          <w:sz w:val="26"/>
          <w:szCs w:val="26"/>
        </w:rPr>
        <w:t xml:space="preserve">: </w:t>
      </w:r>
      <w:bookmarkEnd w:id="5"/>
      <w:r w:rsidRPr="00EB0D8D">
        <w:rPr>
          <w:rFonts w:ascii="Times New Roman" w:hAnsi="Times New Roman"/>
          <w:sz w:val="26"/>
          <w:szCs w:val="26"/>
        </w:rPr>
        <w:t>„0000400.0” oznacza wydatki niekwalifikowane z budżetu j.s.t;</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zmian w planie wydatków dotyczących przedsięwzięć wieloletnich, zadań inwestycyjnych rocznych, porozumień między j.s.t </w:t>
      </w:r>
      <w:r w:rsidRPr="00EB0D8D">
        <w:rPr>
          <w:rFonts w:ascii="Times New Roman" w:hAnsi="Times New Roman"/>
          <w:sz w:val="26"/>
          <w:szCs w:val="26"/>
        </w:rPr>
        <w:br/>
        <w:t>oraz z organami administracji rządowej, przy nazwie paragrafu należy określić symbol i nazwę zadania/przedsięwzięcia - zgodnie z określonym przez Departament Budżetu i Finansów (przekazanym do zastosowania wszystkim departamentom i jednostkom budżetowym) słownikiem podzadań;</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zmianach planu wydatków na programy finansowane z udziałem środków, </w:t>
      </w:r>
      <w:r w:rsidRPr="00EB0D8D">
        <w:rPr>
          <w:rFonts w:ascii="Times New Roman" w:hAnsi="Times New Roman"/>
          <w:sz w:val="26"/>
          <w:szCs w:val="26"/>
        </w:rPr>
        <w:br/>
        <w:t>o których mowa w art.5 ust.1 pkt 2 i 3 ustawy o finansach publicznych należy określić też nazwę projektu unijnego przy zastosowaniu poniższego wzoru zadań/przedsięwzięć przypisanych do poszczególnych paragrafów:</w:t>
      </w:r>
    </w:p>
    <w:p w:rsidR="00125D89" w:rsidRPr="00EB0D8D" w:rsidRDefault="00125D89" w:rsidP="00125D89">
      <w:pPr>
        <w:ind w:left="1061" w:hanging="352"/>
        <w:jc w:val="both"/>
        <w:rPr>
          <w:sz w:val="26"/>
          <w:szCs w:val="26"/>
        </w:rPr>
      </w:pPr>
      <w:r w:rsidRPr="00EB0D8D">
        <w:rPr>
          <w:sz w:val="26"/>
          <w:szCs w:val="26"/>
          <w:u w:val="single"/>
        </w:rPr>
        <w:t>przykład:</w:t>
      </w:r>
      <w:r w:rsidRPr="00EB0D8D">
        <w:rPr>
          <w:sz w:val="26"/>
          <w:szCs w:val="26"/>
        </w:rPr>
        <w:tab/>
        <w:t>0050305.1  (PROW z j.s.t., Dz.5.1)</w:t>
      </w:r>
      <w:r w:rsidRPr="00EB0D8D">
        <w:rPr>
          <w:sz w:val="26"/>
          <w:szCs w:val="26"/>
        </w:rPr>
        <w:tab/>
      </w:r>
    </w:p>
    <w:p w:rsidR="00125D89" w:rsidRPr="00EB0D8D" w:rsidRDefault="00125D89" w:rsidP="00125D89">
      <w:pPr>
        <w:ind w:left="1061" w:hanging="352"/>
        <w:jc w:val="both"/>
        <w:rPr>
          <w:sz w:val="26"/>
          <w:szCs w:val="26"/>
        </w:rPr>
      </w:pPr>
      <w:r w:rsidRPr="00EB0D8D">
        <w:rPr>
          <w:sz w:val="26"/>
          <w:szCs w:val="26"/>
        </w:rPr>
        <w:t>gdzie:</w:t>
      </w:r>
    </w:p>
    <w:p w:rsidR="00125D89" w:rsidRPr="00EB0D8D" w:rsidRDefault="00125D89" w:rsidP="00125D89">
      <w:pPr>
        <w:ind w:left="1276" w:hanging="567"/>
        <w:jc w:val="both"/>
        <w:rPr>
          <w:sz w:val="26"/>
          <w:szCs w:val="26"/>
        </w:rPr>
      </w:pPr>
      <w:r w:rsidRPr="00EB0D8D">
        <w:rPr>
          <w:sz w:val="26"/>
          <w:szCs w:val="26"/>
        </w:rPr>
        <w:t>005 – oznacza nazwę programu unijnego (w tym przypadku PROW na lata 2014-2020)</w:t>
      </w:r>
    </w:p>
    <w:p w:rsidR="00125D89" w:rsidRPr="00EB0D8D" w:rsidRDefault="00125D89" w:rsidP="00125D89">
      <w:pPr>
        <w:ind w:left="1061" w:hanging="352"/>
        <w:jc w:val="both"/>
        <w:rPr>
          <w:sz w:val="26"/>
          <w:szCs w:val="26"/>
        </w:rPr>
      </w:pPr>
      <w:r w:rsidRPr="00EB0D8D">
        <w:rPr>
          <w:sz w:val="26"/>
          <w:szCs w:val="26"/>
        </w:rPr>
        <w:t>03 – oznacza źródło finansowania (w tym przypadku finansowanie z j.s.t.)</w:t>
      </w:r>
    </w:p>
    <w:p w:rsidR="00125D89" w:rsidRPr="00EB0D8D" w:rsidRDefault="00125D89" w:rsidP="00125D89">
      <w:pPr>
        <w:ind w:left="1276" w:hanging="567"/>
        <w:jc w:val="both"/>
        <w:rPr>
          <w:sz w:val="26"/>
          <w:szCs w:val="26"/>
        </w:rPr>
      </w:pPr>
      <w:r w:rsidRPr="00EB0D8D">
        <w:rPr>
          <w:sz w:val="26"/>
          <w:szCs w:val="26"/>
        </w:rPr>
        <w:t>05.1 – oznacza nazwę działania (w tym przypadku działanie 5.1 „Pomoc Techniczna”);</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zmian w planie wydatków w module „Planowanie” dotyczących zadań finansowanych z dotacji celowych na zadania własne, zlecone lub na podstawie porozumień z organami administracji rządowej należy (w celu powiązania dochodów z wydatkami) wybrać paragraf wydatkowy oznaczony odpowiednim symbolem określającym źródło dochodu (221…, 222…, 223…, 238… lub 651…, 652…, 653…), natomiast w przypadku zadań realizowanych </w:t>
      </w:r>
      <w:r w:rsidRPr="00EB0D8D">
        <w:rPr>
          <w:rFonts w:ascii="Times New Roman" w:hAnsi="Times New Roman"/>
          <w:sz w:val="26"/>
          <w:szCs w:val="26"/>
        </w:rPr>
        <w:br/>
        <w:t>z innymi jednostkami samorządu terytorialnego odpowiednio:</w:t>
      </w:r>
    </w:p>
    <w:p w:rsidR="00125D89" w:rsidRPr="00EB0D8D" w:rsidRDefault="00125D89" w:rsidP="00125D89">
      <w:pPr>
        <w:pStyle w:val="Akapitzlist1"/>
        <w:numPr>
          <w:ilvl w:val="2"/>
          <w:numId w:val="7"/>
        </w:numPr>
        <w:tabs>
          <w:tab w:val="left" w:pos="993"/>
        </w:tabs>
        <w:autoSpaceDE w:val="0"/>
        <w:autoSpaceDN w:val="0"/>
        <w:adjustRightInd w:val="0"/>
        <w:ind w:left="1276" w:hanging="567"/>
        <w:jc w:val="both"/>
        <w:rPr>
          <w:rFonts w:ascii="Times New Roman" w:hAnsi="Times New Roman"/>
          <w:sz w:val="26"/>
          <w:szCs w:val="26"/>
        </w:rPr>
      </w:pPr>
      <w:r w:rsidRPr="00EB0D8D">
        <w:rPr>
          <w:rFonts w:ascii="Times New Roman" w:hAnsi="Times New Roman"/>
          <w:sz w:val="26"/>
          <w:szCs w:val="26"/>
        </w:rPr>
        <w:t>pomoc finansowa (271…, 630…),</w:t>
      </w:r>
    </w:p>
    <w:p w:rsidR="00125D89" w:rsidRPr="00EB0D8D" w:rsidRDefault="00125D89" w:rsidP="00125D89">
      <w:pPr>
        <w:pStyle w:val="Akapitzlist1"/>
        <w:numPr>
          <w:ilvl w:val="2"/>
          <w:numId w:val="7"/>
        </w:numPr>
        <w:tabs>
          <w:tab w:val="left" w:pos="993"/>
        </w:tabs>
        <w:autoSpaceDE w:val="0"/>
        <w:autoSpaceDN w:val="0"/>
        <w:adjustRightInd w:val="0"/>
        <w:ind w:left="1276" w:hanging="567"/>
        <w:jc w:val="both"/>
        <w:rPr>
          <w:rFonts w:ascii="Times New Roman" w:hAnsi="Times New Roman"/>
          <w:sz w:val="26"/>
          <w:szCs w:val="26"/>
        </w:rPr>
      </w:pPr>
      <w:r w:rsidRPr="00EB0D8D">
        <w:rPr>
          <w:rFonts w:ascii="Times New Roman" w:hAnsi="Times New Roman"/>
          <w:sz w:val="26"/>
          <w:szCs w:val="26"/>
        </w:rPr>
        <w:t>porozumienia z j.s.t.  (231…, 661…, 232…, 662…, 233…, 663…);</w:t>
      </w:r>
    </w:p>
    <w:p w:rsidR="00125D89" w:rsidRPr="00EB0D8D" w:rsidRDefault="00125D89" w:rsidP="00125D89">
      <w:pPr>
        <w:pStyle w:val="Akapitzlist"/>
        <w:numPr>
          <w:ilvl w:val="0"/>
          <w:numId w:val="7"/>
        </w:numPr>
        <w:jc w:val="both"/>
        <w:rPr>
          <w:sz w:val="26"/>
          <w:szCs w:val="26"/>
          <w:lang w:eastAsia="en-US"/>
        </w:rPr>
      </w:pPr>
      <w:r w:rsidRPr="00EB0D8D">
        <w:rPr>
          <w:sz w:val="26"/>
          <w:szCs w:val="26"/>
          <w:lang w:eastAsia="en-US"/>
        </w:rPr>
        <w:t xml:space="preserve">w przypadku </w:t>
      </w:r>
      <w:bookmarkStart w:id="6" w:name="_Hlk502301839"/>
      <w:r w:rsidRPr="00EB0D8D">
        <w:rPr>
          <w:sz w:val="26"/>
          <w:szCs w:val="26"/>
          <w:lang w:eastAsia="en-US"/>
        </w:rPr>
        <w:t>wprowadzania zmian w  module „WPF”</w:t>
      </w:r>
      <w:bookmarkEnd w:id="6"/>
      <w:r w:rsidRPr="00EB0D8D">
        <w:rPr>
          <w:sz w:val="26"/>
          <w:szCs w:val="26"/>
          <w:lang w:eastAsia="en-US"/>
        </w:rPr>
        <w:t>, dane w zakresie dochodów i wydatków bieżącego roku budżetowego można zaczytać z danych wprowadzanych w module „Planowanie”,</w:t>
      </w:r>
      <w:r w:rsidRPr="00EB0D8D">
        <w:rPr>
          <w:sz w:val="26"/>
          <w:szCs w:val="26"/>
        </w:rPr>
        <w:t xml:space="preserve"> bądź wprowadzić ręcznie</w:t>
      </w:r>
      <w:r w:rsidRPr="00EB0D8D">
        <w:rPr>
          <w:sz w:val="26"/>
          <w:szCs w:val="26"/>
          <w:lang w:eastAsia="en-US"/>
        </w:rPr>
        <w:t xml:space="preserve">. Przy zaczytywaniu danych należy dodatkowo z rozwijanej listy uzupełnić w dochodach i wydatkach pozycje dotyczące: podzadania (np. 1a…, 1c…), </w:t>
      </w:r>
      <w:r w:rsidRPr="00EB0D8D">
        <w:rPr>
          <w:sz w:val="26"/>
          <w:szCs w:val="26"/>
          <w:lang w:eastAsia="en-US"/>
        </w:rPr>
        <w:lastRenderedPageBreak/>
        <w:t xml:space="preserve">finansowania (źródła finansowania wyszczególnione w </w:t>
      </w:r>
      <w:proofErr w:type="spellStart"/>
      <w:r w:rsidRPr="00EB0D8D">
        <w:rPr>
          <w:sz w:val="26"/>
          <w:szCs w:val="26"/>
          <w:lang w:eastAsia="en-US"/>
        </w:rPr>
        <w:t>ppkt</w:t>
      </w:r>
      <w:proofErr w:type="spellEnd"/>
      <w:r w:rsidRPr="00EB0D8D">
        <w:rPr>
          <w:sz w:val="26"/>
          <w:szCs w:val="26"/>
          <w:lang w:eastAsia="en-US"/>
        </w:rPr>
        <w:t xml:space="preserve"> 16) oraz dodatkowo </w:t>
      </w:r>
      <w:r w:rsidRPr="00EB0D8D">
        <w:rPr>
          <w:sz w:val="26"/>
          <w:szCs w:val="26"/>
        </w:rPr>
        <w:t xml:space="preserve">w wydatkach </w:t>
      </w:r>
      <w:r w:rsidRPr="00EB0D8D">
        <w:rPr>
          <w:sz w:val="26"/>
          <w:szCs w:val="26"/>
          <w:lang w:eastAsia="en-US"/>
        </w:rPr>
        <w:t>pozycję dotyczącą paragrafu powiązanego, tj. określającego źródło dochodu, np. 221…, 223…, 630… W latach następnych przy wprowadzaniu zmian wypełnia się wszystkie pozycje;</w:t>
      </w:r>
    </w:p>
    <w:p w:rsidR="00125D89" w:rsidRPr="00EB0D8D" w:rsidRDefault="00125D89" w:rsidP="00125D89">
      <w:pPr>
        <w:pStyle w:val="Akapitzlist1"/>
        <w:numPr>
          <w:ilvl w:val="0"/>
          <w:numId w:val="7"/>
        </w:numPr>
        <w:tabs>
          <w:tab w:val="left" w:pos="709"/>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zmian w zakresie dochodów w  module „WPF” zarówno w roku bieżącym, jak i w latach następnych wszystkie dane należy wprowadzić w pełnej szczegółowości </w:t>
      </w:r>
      <w:bookmarkStart w:id="7" w:name="_Hlk502650306"/>
      <w:r w:rsidRPr="00EB0D8D">
        <w:rPr>
          <w:rFonts w:ascii="Times New Roman" w:hAnsi="Times New Roman"/>
          <w:sz w:val="26"/>
          <w:szCs w:val="26"/>
        </w:rPr>
        <w:t>klasyfikacji budżetowej, tj. działu, rozdziału, paragrafu, podzadani</w:t>
      </w:r>
      <w:bookmarkEnd w:id="7"/>
      <w:r w:rsidRPr="00EB0D8D">
        <w:rPr>
          <w:rFonts w:ascii="Times New Roman" w:hAnsi="Times New Roman"/>
          <w:sz w:val="26"/>
          <w:szCs w:val="26"/>
        </w:rPr>
        <w:t xml:space="preserve">a i źródła finansowania; </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zmian w zakresie wydatków w  module „WPF” w roku bieżącym wszystkie dane należy wprowadzić w pełnej szczegółowości klasyfikacji budżetowej </w:t>
      </w:r>
      <w:bookmarkStart w:id="8" w:name="_Hlk502753897"/>
      <w:r w:rsidRPr="00EB0D8D">
        <w:rPr>
          <w:rFonts w:ascii="Times New Roman" w:hAnsi="Times New Roman"/>
          <w:sz w:val="26"/>
          <w:szCs w:val="26"/>
        </w:rPr>
        <w:t>jak w przypadku dochodów</w:t>
      </w:r>
      <w:bookmarkEnd w:id="8"/>
      <w:r w:rsidRPr="00EB0D8D">
        <w:rPr>
          <w:rFonts w:ascii="Times New Roman" w:hAnsi="Times New Roman"/>
          <w:sz w:val="26"/>
          <w:szCs w:val="26"/>
        </w:rPr>
        <w:t>, natomiast w latach następnych dane należy wprowadzić w szczegółowości działu, rozdziału oraz paragrafu, z tym że:</w:t>
      </w:r>
    </w:p>
    <w:p w:rsidR="00125D89" w:rsidRPr="00EB0D8D" w:rsidRDefault="00125D89" w:rsidP="00125D89">
      <w:pPr>
        <w:autoSpaceDE w:val="0"/>
        <w:autoSpaceDN w:val="0"/>
        <w:adjustRightInd w:val="0"/>
        <w:ind w:left="851" w:hanging="142"/>
        <w:jc w:val="both"/>
        <w:rPr>
          <w:sz w:val="26"/>
          <w:szCs w:val="26"/>
        </w:rPr>
      </w:pPr>
      <w:r w:rsidRPr="00EB0D8D">
        <w:rPr>
          <w:sz w:val="26"/>
          <w:szCs w:val="26"/>
        </w:rPr>
        <w:t>- wynagrodzenia i składki od nich naliczane (wypłacane ze wszystkich tytułów: ze stosunku pracy, umowy o dzieło i umowy zlecenia itp.) – ujmuje się w § 401 w podziale na poszczególne źródła finansowania i z uwzględnieniem paragrafu powiązanego,</w:t>
      </w:r>
    </w:p>
    <w:p w:rsidR="00125D89" w:rsidRPr="00EB0D8D" w:rsidRDefault="00125D89" w:rsidP="00125D89">
      <w:pPr>
        <w:autoSpaceDE w:val="0"/>
        <w:autoSpaceDN w:val="0"/>
        <w:adjustRightInd w:val="0"/>
        <w:ind w:left="851" w:hanging="142"/>
        <w:jc w:val="both"/>
        <w:rPr>
          <w:sz w:val="26"/>
          <w:szCs w:val="26"/>
        </w:rPr>
      </w:pPr>
      <w:r w:rsidRPr="00EB0D8D">
        <w:rPr>
          <w:sz w:val="26"/>
          <w:szCs w:val="26"/>
        </w:rPr>
        <w:t xml:space="preserve">- świadczenia na rzecz osób fizycznych (np. wydatki z tytułu diet, stypendiów itp.) – ujmuje się w § 302 w podziale na poszczególne źródła finansowania </w:t>
      </w:r>
      <w:r w:rsidRPr="00EB0D8D">
        <w:rPr>
          <w:sz w:val="26"/>
          <w:szCs w:val="26"/>
        </w:rPr>
        <w:br/>
        <w:t>i z uwzględnieniem paragrafu powiązanego,</w:t>
      </w:r>
    </w:p>
    <w:p w:rsidR="00125D89" w:rsidRPr="00EB0D8D" w:rsidRDefault="00125D89" w:rsidP="00125D89">
      <w:pPr>
        <w:autoSpaceDE w:val="0"/>
        <w:autoSpaceDN w:val="0"/>
        <w:adjustRightInd w:val="0"/>
        <w:ind w:left="851" w:hanging="142"/>
        <w:jc w:val="both"/>
        <w:rPr>
          <w:sz w:val="26"/>
          <w:szCs w:val="26"/>
        </w:rPr>
      </w:pPr>
      <w:r w:rsidRPr="00EB0D8D">
        <w:rPr>
          <w:sz w:val="26"/>
          <w:szCs w:val="26"/>
        </w:rPr>
        <w:t xml:space="preserve">- wydatki związane z funkcjonowaniem (utrzymaniem) jednostki – ujmuje się </w:t>
      </w:r>
      <w:r w:rsidRPr="00EB0D8D">
        <w:rPr>
          <w:sz w:val="26"/>
          <w:szCs w:val="26"/>
        </w:rPr>
        <w:br/>
        <w:t>w § 426 w podziale na poszczególne źródła finansowania i z uwzględnieniem paragrafu powiązanego,</w:t>
      </w:r>
    </w:p>
    <w:p w:rsidR="00125D89" w:rsidRPr="00EB0D8D" w:rsidRDefault="00125D89" w:rsidP="00125D89">
      <w:pPr>
        <w:autoSpaceDE w:val="0"/>
        <w:autoSpaceDN w:val="0"/>
        <w:adjustRightInd w:val="0"/>
        <w:ind w:left="851" w:hanging="142"/>
        <w:jc w:val="both"/>
        <w:rPr>
          <w:sz w:val="26"/>
          <w:szCs w:val="26"/>
        </w:rPr>
      </w:pPr>
      <w:r w:rsidRPr="00EB0D8D">
        <w:rPr>
          <w:sz w:val="26"/>
          <w:szCs w:val="26"/>
        </w:rPr>
        <w:t xml:space="preserve">- dotacje </w:t>
      </w:r>
      <w:bookmarkStart w:id="9" w:name="_Hlk530651350"/>
      <w:r w:rsidRPr="00EB0D8D">
        <w:rPr>
          <w:sz w:val="26"/>
          <w:szCs w:val="26"/>
        </w:rPr>
        <w:t>– ujmuje się we właściwych paragrafach klasyfikacji budżetowej,</w:t>
      </w:r>
      <w:bookmarkEnd w:id="9"/>
    </w:p>
    <w:p w:rsidR="00125D89" w:rsidRPr="00EB0D8D" w:rsidRDefault="00125D89" w:rsidP="00125D89">
      <w:pPr>
        <w:autoSpaceDE w:val="0"/>
        <w:autoSpaceDN w:val="0"/>
        <w:adjustRightInd w:val="0"/>
        <w:ind w:left="851" w:hanging="142"/>
        <w:jc w:val="both"/>
        <w:rPr>
          <w:sz w:val="26"/>
          <w:szCs w:val="26"/>
        </w:rPr>
      </w:pPr>
      <w:r w:rsidRPr="00EB0D8D">
        <w:rPr>
          <w:sz w:val="26"/>
          <w:szCs w:val="26"/>
        </w:rPr>
        <w:t xml:space="preserve">- wydatki dotyczące inwestycji i zakupów inwestycyjnych – ujmuje się </w:t>
      </w:r>
      <w:r w:rsidRPr="00EB0D8D">
        <w:rPr>
          <w:sz w:val="26"/>
          <w:szCs w:val="26"/>
        </w:rPr>
        <w:br/>
        <w:t>we właściwych paragrafach klasyfikacji budżetowej,</w:t>
      </w:r>
    </w:p>
    <w:p w:rsidR="00125D89" w:rsidRPr="00EB0D8D" w:rsidRDefault="00125D89" w:rsidP="00125D89">
      <w:pPr>
        <w:autoSpaceDE w:val="0"/>
        <w:autoSpaceDN w:val="0"/>
        <w:adjustRightInd w:val="0"/>
        <w:ind w:left="851" w:hanging="142"/>
        <w:jc w:val="both"/>
        <w:rPr>
          <w:sz w:val="26"/>
          <w:szCs w:val="26"/>
        </w:rPr>
      </w:pPr>
      <w:r w:rsidRPr="00EB0D8D">
        <w:rPr>
          <w:sz w:val="26"/>
          <w:szCs w:val="26"/>
        </w:rPr>
        <w:t>- gwarancje i poręczenia oraz wydatki na obsługę długu – ujmuje się we właściwych paragrafach klasyfikacji budżetowej,</w:t>
      </w:r>
    </w:p>
    <w:p w:rsidR="00125D89" w:rsidRPr="00EB0D8D" w:rsidRDefault="00125D89" w:rsidP="00125D89">
      <w:pPr>
        <w:autoSpaceDE w:val="0"/>
        <w:autoSpaceDN w:val="0"/>
        <w:adjustRightInd w:val="0"/>
        <w:ind w:left="851" w:hanging="142"/>
        <w:jc w:val="both"/>
        <w:rPr>
          <w:sz w:val="26"/>
          <w:szCs w:val="26"/>
        </w:rPr>
      </w:pPr>
      <w:r w:rsidRPr="00EB0D8D">
        <w:rPr>
          <w:sz w:val="26"/>
          <w:szCs w:val="26"/>
        </w:rPr>
        <w:t>- pozostałe wydatki bieżące – ujmuje się w § 430 w podziale na poszczególne źródła finansowania i z uwzględnieniem paragrafu powiązanego,</w:t>
      </w:r>
    </w:p>
    <w:p w:rsidR="00125D89" w:rsidRPr="00EB0D8D" w:rsidRDefault="00125D89" w:rsidP="00125D89">
      <w:pPr>
        <w:pStyle w:val="Akapitzlist1"/>
        <w:numPr>
          <w:ilvl w:val="0"/>
          <w:numId w:val="7"/>
        </w:numPr>
        <w:tabs>
          <w:tab w:val="left" w:pos="993"/>
        </w:tabs>
        <w:autoSpaceDE w:val="0"/>
        <w:autoSpaceDN w:val="0"/>
        <w:adjustRightInd w:val="0"/>
        <w:jc w:val="both"/>
        <w:rPr>
          <w:rFonts w:ascii="Times New Roman" w:hAnsi="Times New Roman"/>
          <w:sz w:val="26"/>
          <w:szCs w:val="26"/>
        </w:rPr>
      </w:pPr>
      <w:r w:rsidRPr="00EB0D8D">
        <w:rPr>
          <w:rFonts w:ascii="Times New Roman" w:hAnsi="Times New Roman"/>
          <w:sz w:val="26"/>
          <w:szCs w:val="26"/>
        </w:rPr>
        <w:t>w przypadku zmian w wydatkach majątkowych w module „WPF” (jeżeli nie są one dotacjami) w zakresie § 605… i § 606…, należy z rozwijanej listy odpowiednio przyporządkować do paragrafu rozszerzenie tj.</w:t>
      </w:r>
      <w:r w:rsidRPr="00EB0D8D">
        <w:rPr>
          <w:rFonts w:ascii="Times New Roman" w:hAnsi="Times New Roman"/>
          <w:color w:val="FF0000"/>
          <w:sz w:val="26"/>
          <w:szCs w:val="26"/>
        </w:rPr>
        <w:t xml:space="preserve"> </w:t>
      </w:r>
      <w:r w:rsidRPr="00EB0D8D">
        <w:rPr>
          <w:rFonts w:ascii="Times New Roman" w:hAnsi="Times New Roman"/>
          <w:sz w:val="26"/>
          <w:szCs w:val="26"/>
        </w:rPr>
        <w:t xml:space="preserve">„nowe” lub „kontynuowane”  </w:t>
      </w:r>
    </w:p>
    <w:p w:rsidR="00125D89" w:rsidRPr="00EB0D8D" w:rsidRDefault="00125D89" w:rsidP="00125D89">
      <w:pPr>
        <w:pStyle w:val="Akapitzlist1"/>
        <w:tabs>
          <w:tab w:val="left" w:pos="1134"/>
        </w:tabs>
        <w:ind w:left="1985" w:hanging="1418"/>
        <w:jc w:val="both"/>
        <w:rPr>
          <w:rFonts w:ascii="Times New Roman" w:hAnsi="Times New Roman"/>
          <w:sz w:val="26"/>
          <w:szCs w:val="26"/>
        </w:rPr>
      </w:pPr>
      <w:r w:rsidRPr="00EB0D8D">
        <w:rPr>
          <w:rFonts w:ascii="Times New Roman" w:hAnsi="Times New Roman"/>
          <w:sz w:val="26"/>
          <w:szCs w:val="26"/>
        </w:rPr>
        <w:t xml:space="preserve">  </w:t>
      </w:r>
      <w:r w:rsidRPr="00EB0D8D">
        <w:rPr>
          <w:rFonts w:ascii="Times New Roman" w:hAnsi="Times New Roman"/>
          <w:sz w:val="26"/>
          <w:szCs w:val="26"/>
          <w:u w:val="single"/>
        </w:rPr>
        <w:t>przykład</w:t>
      </w:r>
      <w:r w:rsidRPr="00EB0D8D">
        <w:rPr>
          <w:rFonts w:ascii="Times New Roman" w:hAnsi="Times New Roman"/>
          <w:sz w:val="26"/>
          <w:szCs w:val="26"/>
        </w:rPr>
        <w:t xml:space="preserve">:  przedsięwzięcie realizowane w latach 2018-2020 ze środków j.s.t., w roku 2018 </w:t>
      </w:r>
      <w:bookmarkStart w:id="10" w:name="_Hlk502746851"/>
      <w:r w:rsidRPr="00EB0D8D">
        <w:rPr>
          <w:rFonts w:ascii="Times New Roman" w:hAnsi="Times New Roman"/>
          <w:sz w:val="26"/>
          <w:szCs w:val="26"/>
        </w:rPr>
        <w:t>należy wybrać §</w:t>
      </w:r>
      <w:bookmarkEnd w:id="10"/>
      <w:r w:rsidRPr="00EB0D8D">
        <w:rPr>
          <w:rFonts w:ascii="Times New Roman" w:hAnsi="Times New Roman"/>
          <w:sz w:val="26"/>
          <w:szCs w:val="26"/>
        </w:rPr>
        <w:t xml:space="preserve"> 6050 nowe, w roku 2019 i 2020 - § 6050 kontynuowane; </w:t>
      </w:r>
    </w:p>
    <w:p w:rsidR="00125D89" w:rsidRPr="00EB0D8D" w:rsidRDefault="00125D89" w:rsidP="00125D89">
      <w:pPr>
        <w:pStyle w:val="Akapitzlist1"/>
        <w:numPr>
          <w:ilvl w:val="0"/>
          <w:numId w:val="7"/>
        </w:numPr>
        <w:tabs>
          <w:tab w:val="left" w:pos="709"/>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zawarcia Umowy lub Aneksu z instytucją przyznającą środki/udzielającą dofinansowania w związku z realizacją projektów </w:t>
      </w:r>
      <w:r w:rsidRPr="00EB0D8D">
        <w:rPr>
          <w:rFonts w:ascii="Times New Roman" w:hAnsi="Times New Roman"/>
          <w:sz w:val="26"/>
          <w:szCs w:val="26"/>
        </w:rPr>
        <w:br/>
        <w:t>z udziałem środków, o których mowa w art. 5 ust. 1 pkt 2 i 3 Departamenty merytoryczne niezwłocznie informują Oddział Budżetu, Wieloletniej Prognozy Finansowej i Sprawozdawczości</w:t>
      </w:r>
      <w:r w:rsidRPr="00EB0D8D">
        <w:rPr>
          <w:rFonts w:ascii="Times New Roman" w:hAnsi="Times New Roman"/>
          <w:i/>
          <w:sz w:val="26"/>
          <w:szCs w:val="26"/>
        </w:rPr>
        <w:t xml:space="preserve"> </w:t>
      </w:r>
      <w:r w:rsidRPr="00EB0D8D">
        <w:rPr>
          <w:rFonts w:ascii="Times New Roman" w:hAnsi="Times New Roman"/>
          <w:sz w:val="26"/>
          <w:szCs w:val="26"/>
        </w:rPr>
        <w:t xml:space="preserve">w formie pisemnej i elektronicznej na adres </w:t>
      </w:r>
      <w:hyperlink r:id="rId9" w:history="1">
        <w:r w:rsidRPr="00EB0D8D">
          <w:rPr>
            <w:rStyle w:val="Hipercze"/>
            <w:rFonts w:ascii="Times New Roman" w:hAnsi="Times New Roman"/>
            <w:sz w:val="26"/>
            <w:szCs w:val="26"/>
          </w:rPr>
          <w:t>Wnioski_WPF@sejmik.kielce.pl</w:t>
        </w:r>
      </w:hyperlink>
      <w:r w:rsidRPr="00EB0D8D">
        <w:rPr>
          <w:rFonts w:ascii="Times New Roman" w:hAnsi="Times New Roman"/>
          <w:sz w:val="26"/>
          <w:szCs w:val="26"/>
        </w:rPr>
        <w:t xml:space="preserve">, o dacie zawarcia Umowy lub Aneksu oraz stopniu dofinansowania w %; </w:t>
      </w:r>
    </w:p>
    <w:p w:rsidR="00125D89" w:rsidRPr="00EB0D8D" w:rsidRDefault="00125D89" w:rsidP="00125D89">
      <w:pPr>
        <w:pStyle w:val="Akapitzlist1"/>
        <w:numPr>
          <w:ilvl w:val="0"/>
          <w:numId w:val="7"/>
        </w:numPr>
        <w:tabs>
          <w:tab w:val="left" w:pos="709"/>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po wydrukowaniu i zweryfikowaniu wprowadzonych zmian w module „Planowanie” i module „WPF”, załączniki Nr 1 i 2 należy niezwłocznie </w:t>
      </w:r>
      <w:r w:rsidRPr="00EB0D8D">
        <w:rPr>
          <w:rFonts w:ascii="Times New Roman" w:hAnsi="Times New Roman"/>
          <w:sz w:val="26"/>
          <w:szCs w:val="26"/>
        </w:rPr>
        <w:lastRenderedPageBreak/>
        <w:t xml:space="preserve">przesłać na adres </w:t>
      </w:r>
      <w:bookmarkStart w:id="11" w:name="_Hlk502315180"/>
      <w:r w:rsidRPr="00EB0D8D">
        <w:rPr>
          <w:rFonts w:ascii="Times New Roman" w:hAnsi="Times New Roman"/>
          <w:sz w:val="26"/>
          <w:szCs w:val="26"/>
        </w:rPr>
        <w:fldChar w:fldCharType="begin"/>
      </w:r>
      <w:r w:rsidRPr="00EB0D8D">
        <w:rPr>
          <w:rFonts w:ascii="Times New Roman" w:hAnsi="Times New Roman"/>
          <w:sz w:val="26"/>
          <w:szCs w:val="26"/>
        </w:rPr>
        <w:instrText xml:space="preserve"> HYPERLINK "mailto:planowanie@sejmik.kielce.pl" </w:instrText>
      </w:r>
      <w:r w:rsidRPr="00EB0D8D">
        <w:rPr>
          <w:rFonts w:ascii="Times New Roman" w:hAnsi="Times New Roman"/>
          <w:sz w:val="26"/>
          <w:szCs w:val="26"/>
        </w:rPr>
        <w:fldChar w:fldCharType="separate"/>
      </w:r>
      <w:r w:rsidRPr="00EB0D8D">
        <w:rPr>
          <w:rStyle w:val="Hipercze"/>
          <w:rFonts w:ascii="Times New Roman" w:hAnsi="Times New Roman"/>
          <w:sz w:val="26"/>
          <w:szCs w:val="26"/>
        </w:rPr>
        <w:t>planowanie@sejmik.kielce.pl</w:t>
      </w:r>
      <w:r w:rsidRPr="00EB0D8D">
        <w:rPr>
          <w:rFonts w:ascii="Times New Roman" w:hAnsi="Times New Roman"/>
          <w:sz w:val="26"/>
          <w:szCs w:val="26"/>
        </w:rPr>
        <w:fldChar w:fldCharType="end"/>
      </w:r>
      <w:bookmarkEnd w:id="11"/>
      <w:r w:rsidRPr="00EB0D8D">
        <w:rPr>
          <w:rFonts w:ascii="Times New Roman" w:hAnsi="Times New Roman"/>
          <w:sz w:val="26"/>
          <w:szCs w:val="26"/>
        </w:rPr>
        <w:t xml:space="preserve">, natomiast załączniki Nr 3, 3a, 4, 4a, 5, 6, 7 na adres </w:t>
      </w:r>
      <w:hyperlink r:id="rId10" w:history="1">
        <w:r w:rsidRPr="00EB0D8D">
          <w:rPr>
            <w:rStyle w:val="Hipercze"/>
            <w:rFonts w:ascii="Times New Roman" w:hAnsi="Times New Roman"/>
            <w:sz w:val="26"/>
            <w:szCs w:val="26"/>
          </w:rPr>
          <w:t>Wnioski_WPF@sejmik.kielce.pl</w:t>
        </w:r>
      </w:hyperlink>
      <w:r w:rsidRPr="00EB0D8D">
        <w:rPr>
          <w:rFonts w:ascii="Times New Roman" w:hAnsi="Times New Roman"/>
          <w:sz w:val="26"/>
          <w:szCs w:val="26"/>
        </w:rPr>
        <w:t>. W przypadku korekty załączników należy w tytule wiadomości wpisać korekta do wniosku Nr…</w:t>
      </w:r>
    </w:p>
    <w:p w:rsidR="00125D89" w:rsidRPr="00EB0D8D" w:rsidRDefault="00125D89" w:rsidP="00125D89">
      <w:pPr>
        <w:pStyle w:val="Akapitzlist1"/>
        <w:numPr>
          <w:ilvl w:val="0"/>
          <w:numId w:val="7"/>
        </w:numPr>
        <w:tabs>
          <w:tab w:val="left" w:pos="709"/>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w przypadku dokonywania zmian w planie wydatków w zakresie wyłącznie zmniejszeń planu, </w:t>
      </w:r>
      <w:r w:rsidRPr="00EB0D8D">
        <w:rPr>
          <w:rFonts w:ascii="Times New Roman" w:hAnsi="Times New Roman"/>
          <w:b/>
          <w:sz w:val="26"/>
          <w:szCs w:val="26"/>
        </w:rPr>
        <w:t xml:space="preserve">należy do wniosku załączyć wydruk zaangażowania wydatków </w:t>
      </w:r>
      <w:r w:rsidRPr="00EB0D8D">
        <w:rPr>
          <w:rFonts w:ascii="Times New Roman" w:hAnsi="Times New Roman"/>
          <w:sz w:val="26"/>
          <w:szCs w:val="26"/>
        </w:rPr>
        <w:t xml:space="preserve">za okres od początku roku do dnia sporządzenia wniosku. Wydruk zestawienia podpisany przez dyrektora departamentu realizującego/kierownika równorzędnej komórki organizacyjnej/kierownika jednostki budżetowej potwierdza, że zaciągnięte zobowiązanie z tytułu umów, decyzji i innych dokumentów o podobnym charakterze oraz poniesione wydatki w danym roku budżetowym nie przekraczają planu kwot wydatków ustalonego po dokonanych zmianach w poszczególnych podziałkach klasyfikacji budżetowej. Departamenty realizujące sporządzają wydruk z programu </w:t>
      </w:r>
      <w:proofErr w:type="spellStart"/>
      <w:r w:rsidRPr="00EB0D8D">
        <w:rPr>
          <w:rFonts w:ascii="Times New Roman" w:hAnsi="Times New Roman"/>
          <w:sz w:val="26"/>
          <w:szCs w:val="26"/>
        </w:rPr>
        <w:t>ProKomp</w:t>
      </w:r>
      <w:proofErr w:type="spellEnd"/>
      <w:r w:rsidRPr="00EB0D8D">
        <w:rPr>
          <w:rFonts w:ascii="Times New Roman" w:hAnsi="Times New Roman"/>
          <w:sz w:val="26"/>
          <w:szCs w:val="26"/>
        </w:rPr>
        <w:t xml:space="preserve">, modułu „Wymiana danych”, okno „Zestawienie” (w zależności od dokonywanej zmiany np. wg. rozdziału, podzadania). </w:t>
      </w:r>
    </w:p>
    <w:p w:rsidR="00125D89" w:rsidRPr="00EB0D8D" w:rsidRDefault="00125D89" w:rsidP="00125D89">
      <w:pPr>
        <w:pStyle w:val="Akapitzlist1"/>
        <w:tabs>
          <w:tab w:val="left" w:pos="709"/>
        </w:tabs>
        <w:autoSpaceDE w:val="0"/>
        <w:autoSpaceDN w:val="0"/>
        <w:adjustRightInd w:val="0"/>
        <w:jc w:val="both"/>
        <w:rPr>
          <w:rFonts w:ascii="Times New Roman" w:hAnsi="Times New Roman"/>
          <w:sz w:val="26"/>
          <w:szCs w:val="26"/>
        </w:rPr>
      </w:pPr>
      <w:r w:rsidRPr="00EB0D8D">
        <w:rPr>
          <w:rFonts w:ascii="Times New Roman" w:hAnsi="Times New Roman"/>
          <w:sz w:val="26"/>
          <w:szCs w:val="26"/>
        </w:rPr>
        <w:t xml:space="preserve">Jednostki budżetowe sporządzają z ewidencji księgowej odpowiednie wydruki zaangażowania wydatków danego roku budżetowego i/lub lat następnych, </w:t>
      </w:r>
      <w:r w:rsidRPr="00EB0D8D">
        <w:rPr>
          <w:rFonts w:ascii="Times New Roman" w:hAnsi="Times New Roman"/>
          <w:sz w:val="26"/>
          <w:szCs w:val="26"/>
        </w:rPr>
        <w:br/>
        <w:t xml:space="preserve">w zależności od dokonywanej zmiany tj. dotyczącej wyłącznie roku bieżącego czy też zmian również w latach następnych. Wydruki można ograniczyć </w:t>
      </w:r>
      <w:r w:rsidRPr="00EB0D8D">
        <w:rPr>
          <w:rFonts w:ascii="Times New Roman" w:hAnsi="Times New Roman"/>
          <w:sz w:val="26"/>
          <w:szCs w:val="26"/>
        </w:rPr>
        <w:br/>
        <w:t>do dokonywanej zmiany tj. do paragrafów wyłącznie zmniejszanych, wyszczególnionych we wniosku o dokonanie zmian w budżecie/wieloletniej prognozie finansowej.</w:t>
      </w:r>
    </w:p>
    <w:p w:rsidR="00125D89" w:rsidRPr="00EB0D8D" w:rsidRDefault="00125D89" w:rsidP="00125D89">
      <w:pPr>
        <w:pStyle w:val="Akapitzlist1"/>
        <w:tabs>
          <w:tab w:val="left" w:pos="709"/>
        </w:tabs>
        <w:autoSpaceDE w:val="0"/>
        <w:autoSpaceDN w:val="0"/>
        <w:adjustRightInd w:val="0"/>
        <w:ind w:left="1069"/>
        <w:jc w:val="both"/>
        <w:rPr>
          <w:rFonts w:ascii="Times New Roman" w:hAnsi="Times New Roman"/>
          <w:sz w:val="26"/>
          <w:szCs w:val="26"/>
        </w:rPr>
      </w:pPr>
    </w:p>
    <w:p w:rsidR="00125D89" w:rsidRPr="00EB0D8D" w:rsidRDefault="00125D89" w:rsidP="00125D89">
      <w:pPr>
        <w:pStyle w:val="Akapitzlist1"/>
        <w:numPr>
          <w:ilvl w:val="0"/>
          <w:numId w:val="1"/>
        </w:numPr>
        <w:tabs>
          <w:tab w:val="left" w:pos="284"/>
        </w:tabs>
        <w:autoSpaceDE w:val="0"/>
        <w:autoSpaceDN w:val="0"/>
        <w:adjustRightInd w:val="0"/>
        <w:ind w:left="284" w:hanging="284"/>
        <w:jc w:val="both"/>
        <w:rPr>
          <w:rFonts w:ascii="Times New Roman" w:hAnsi="Times New Roman"/>
          <w:sz w:val="26"/>
          <w:szCs w:val="26"/>
        </w:rPr>
      </w:pPr>
      <w:r w:rsidRPr="00EB0D8D">
        <w:rPr>
          <w:rFonts w:ascii="Times New Roman" w:hAnsi="Times New Roman"/>
          <w:spacing w:val="-4"/>
          <w:sz w:val="26"/>
          <w:szCs w:val="26"/>
        </w:rPr>
        <w:t>Wnioskodawcą zmian są Dyrektorzy/Kierownicy komórek organizacyjnych</w:t>
      </w:r>
      <w:r w:rsidRPr="00EB0D8D">
        <w:rPr>
          <w:rFonts w:ascii="Times New Roman" w:hAnsi="Times New Roman"/>
          <w:sz w:val="26"/>
          <w:szCs w:val="26"/>
        </w:rPr>
        <w:t xml:space="preserve"> Urzędu (nie podległe im jednostki).</w:t>
      </w:r>
    </w:p>
    <w:p w:rsidR="00125D89" w:rsidRPr="00B479D8" w:rsidRDefault="00125D89" w:rsidP="00125D89">
      <w:pPr>
        <w:pStyle w:val="Akapitzlist1"/>
        <w:numPr>
          <w:ilvl w:val="0"/>
          <w:numId w:val="1"/>
        </w:numPr>
        <w:tabs>
          <w:tab w:val="left" w:pos="284"/>
        </w:tabs>
        <w:autoSpaceDE w:val="0"/>
        <w:autoSpaceDN w:val="0"/>
        <w:adjustRightInd w:val="0"/>
        <w:ind w:left="284" w:hanging="284"/>
        <w:jc w:val="both"/>
        <w:rPr>
          <w:rFonts w:ascii="Times New Roman" w:hAnsi="Times New Roman"/>
          <w:sz w:val="26"/>
          <w:szCs w:val="26"/>
        </w:rPr>
      </w:pPr>
      <w:r w:rsidRPr="00EB0D8D">
        <w:rPr>
          <w:rFonts w:ascii="Times New Roman" w:hAnsi="Times New Roman"/>
          <w:sz w:val="26"/>
          <w:szCs w:val="26"/>
        </w:rPr>
        <w:t xml:space="preserve">Prawidłowo sporządzony i przekazany w dwóch egzemplarzach do Departamentu </w:t>
      </w:r>
      <w:r w:rsidRPr="00B479D8">
        <w:rPr>
          <w:rFonts w:ascii="Times New Roman" w:hAnsi="Times New Roman"/>
          <w:sz w:val="26"/>
          <w:szCs w:val="26"/>
        </w:rPr>
        <w:t>Budżetu i Finansów wniosek wraz z załącznikami powinien zawierać:</w:t>
      </w:r>
    </w:p>
    <w:p w:rsidR="00125D89" w:rsidRPr="00B479D8" w:rsidRDefault="00125D89" w:rsidP="00125D89">
      <w:pPr>
        <w:numPr>
          <w:ilvl w:val="1"/>
          <w:numId w:val="3"/>
        </w:numPr>
        <w:ind w:left="709" w:hanging="425"/>
        <w:jc w:val="both"/>
        <w:rPr>
          <w:sz w:val="26"/>
          <w:szCs w:val="26"/>
        </w:rPr>
      </w:pPr>
      <w:r w:rsidRPr="00B479D8">
        <w:rPr>
          <w:sz w:val="26"/>
          <w:szCs w:val="26"/>
        </w:rPr>
        <w:t xml:space="preserve">podpisy: </w:t>
      </w:r>
    </w:p>
    <w:p w:rsidR="00125D89" w:rsidRPr="00B479D8" w:rsidRDefault="00125D89" w:rsidP="00125D89">
      <w:pPr>
        <w:pStyle w:val="Akapitzlist"/>
        <w:numPr>
          <w:ilvl w:val="0"/>
          <w:numId w:val="4"/>
        </w:numPr>
        <w:jc w:val="both"/>
        <w:rPr>
          <w:sz w:val="26"/>
          <w:szCs w:val="26"/>
        </w:rPr>
      </w:pPr>
      <w:r w:rsidRPr="00B479D8">
        <w:rPr>
          <w:sz w:val="26"/>
          <w:szCs w:val="26"/>
        </w:rPr>
        <w:t xml:space="preserve">na wniosku – Dyrektora Departamentu realizującego/Kierownika komórki organizacyjnej Urzędu realizującej dane zadanie, Członka Zarządu Województwa odpowiedzialnego za ich merytoryczną działalność, Dyrektora Departamentu koordynującego realizację poszczególnych programów operacyjnych, osoby sporządzającej wniosek (łącznie z podaniem numeru telefonu), </w:t>
      </w:r>
    </w:p>
    <w:p w:rsidR="00125D89" w:rsidRPr="00B479D8" w:rsidRDefault="00125D89" w:rsidP="00125D89">
      <w:pPr>
        <w:pStyle w:val="Akapitzlist"/>
        <w:numPr>
          <w:ilvl w:val="0"/>
          <w:numId w:val="4"/>
        </w:numPr>
        <w:jc w:val="both"/>
        <w:rPr>
          <w:sz w:val="26"/>
          <w:szCs w:val="26"/>
        </w:rPr>
      </w:pPr>
      <w:r w:rsidRPr="00B479D8">
        <w:rPr>
          <w:sz w:val="26"/>
          <w:szCs w:val="26"/>
        </w:rPr>
        <w:t>na załącznikach – Dyrektora/Kierownika komórki organizacyjnej Urzędu realizującej dane zadanie oraz osoby sporządzającej załącznik,</w:t>
      </w:r>
    </w:p>
    <w:p w:rsidR="00125D89" w:rsidRPr="00B479D8" w:rsidRDefault="00125D89" w:rsidP="00125D89">
      <w:pPr>
        <w:numPr>
          <w:ilvl w:val="1"/>
          <w:numId w:val="3"/>
        </w:numPr>
        <w:ind w:left="709" w:hanging="425"/>
        <w:jc w:val="both"/>
        <w:rPr>
          <w:sz w:val="26"/>
          <w:szCs w:val="26"/>
        </w:rPr>
      </w:pPr>
      <w:r w:rsidRPr="00B479D8">
        <w:rPr>
          <w:sz w:val="26"/>
          <w:szCs w:val="26"/>
        </w:rPr>
        <w:t>podpisy wszystkich Dyrektorów/Kierowników odpowiednich komórek organizacyjnych Urzędu w przypadku zmiany planu w zadaniach realizowanych wspólnie przez komórki organizacyjne Urzędu (w przypadku, gdy w jednym departamencie następuje zmniejszenie, a w drugim departamencie zwiększenie planu finansowego, wniosek sporządza ten departament, w którym następuje zwiększenie planu, natomiast  załączniki do wnio</w:t>
      </w:r>
      <w:r w:rsidR="004A43DB">
        <w:rPr>
          <w:sz w:val="26"/>
          <w:szCs w:val="26"/>
        </w:rPr>
        <w:t>sku składają oba departamenty).</w:t>
      </w:r>
    </w:p>
    <w:p w:rsidR="00125D89" w:rsidRPr="00B479D8" w:rsidRDefault="00125D89" w:rsidP="004A43DB">
      <w:pPr>
        <w:ind w:left="284"/>
        <w:jc w:val="both"/>
        <w:rPr>
          <w:sz w:val="26"/>
          <w:szCs w:val="26"/>
        </w:rPr>
      </w:pPr>
    </w:p>
    <w:p w:rsidR="00125D89" w:rsidRPr="00EB0D8D" w:rsidRDefault="00125D89" w:rsidP="00125D89">
      <w:pPr>
        <w:autoSpaceDE w:val="0"/>
        <w:autoSpaceDN w:val="0"/>
        <w:adjustRightInd w:val="0"/>
        <w:ind w:left="284"/>
        <w:jc w:val="both"/>
        <w:rPr>
          <w:sz w:val="26"/>
          <w:szCs w:val="26"/>
        </w:rPr>
      </w:pPr>
      <w:r w:rsidRPr="00B479D8">
        <w:rPr>
          <w:spacing w:val="-6"/>
          <w:sz w:val="26"/>
          <w:szCs w:val="26"/>
        </w:rPr>
        <w:t>Do wniosku dołączyć należy tylko załączniki</w:t>
      </w:r>
      <w:r w:rsidRPr="00EB0D8D">
        <w:rPr>
          <w:spacing w:val="-6"/>
          <w:sz w:val="26"/>
          <w:szCs w:val="26"/>
        </w:rPr>
        <w:t xml:space="preserve"> z Departamentu (bez wniosków </w:t>
      </w:r>
      <w:r w:rsidRPr="00EB0D8D">
        <w:rPr>
          <w:spacing w:val="-6"/>
          <w:sz w:val="26"/>
          <w:szCs w:val="26"/>
        </w:rPr>
        <w:br/>
        <w:t xml:space="preserve">i materiałów z podległych jednostek), uwzględniając dokumenty wymienione w pkt 1 </w:t>
      </w:r>
      <w:proofErr w:type="spellStart"/>
      <w:r w:rsidRPr="00EB0D8D">
        <w:rPr>
          <w:spacing w:val="-6"/>
          <w:sz w:val="26"/>
          <w:szCs w:val="26"/>
        </w:rPr>
        <w:lastRenderedPageBreak/>
        <w:t>ppkt</w:t>
      </w:r>
      <w:proofErr w:type="spellEnd"/>
      <w:r w:rsidRPr="00EB0D8D">
        <w:rPr>
          <w:spacing w:val="-6"/>
          <w:sz w:val="26"/>
          <w:szCs w:val="26"/>
        </w:rPr>
        <w:t xml:space="preserve"> 9 i </w:t>
      </w:r>
      <w:proofErr w:type="spellStart"/>
      <w:r w:rsidRPr="00EB0D8D">
        <w:rPr>
          <w:spacing w:val="-6"/>
          <w:sz w:val="26"/>
          <w:szCs w:val="26"/>
        </w:rPr>
        <w:t>ppkt</w:t>
      </w:r>
      <w:proofErr w:type="spellEnd"/>
      <w:r w:rsidRPr="00EB0D8D">
        <w:rPr>
          <w:spacing w:val="-6"/>
          <w:sz w:val="26"/>
          <w:szCs w:val="26"/>
        </w:rPr>
        <w:t xml:space="preserve"> 14 w zakresie jednostek budżetowych. Załącznik dotyczący zaangażowania z podległej jednostki budżetowej musi być podpisany przez kierownika tej jednostki.</w:t>
      </w:r>
    </w:p>
    <w:p w:rsidR="00125D89" w:rsidRPr="00EB0D8D" w:rsidRDefault="00125D89" w:rsidP="00125D89">
      <w:pPr>
        <w:pStyle w:val="Akapitzlist"/>
        <w:numPr>
          <w:ilvl w:val="0"/>
          <w:numId w:val="1"/>
        </w:numPr>
        <w:autoSpaceDE w:val="0"/>
        <w:autoSpaceDN w:val="0"/>
        <w:adjustRightInd w:val="0"/>
        <w:ind w:left="284" w:hanging="284"/>
        <w:jc w:val="both"/>
        <w:rPr>
          <w:sz w:val="26"/>
          <w:szCs w:val="26"/>
        </w:rPr>
      </w:pPr>
      <w:r w:rsidRPr="00EB0D8D">
        <w:rPr>
          <w:sz w:val="26"/>
          <w:szCs w:val="26"/>
        </w:rPr>
        <w:t xml:space="preserve">Ustala się procedurę składania wniosków dotyczących zmian w budżecie/ </w:t>
      </w:r>
      <w:r w:rsidRPr="00EB0D8D">
        <w:rPr>
          <w:sz w:val="26"/>
          <w:szCs w:val="26"/>
        </w:rPr>
        <w:br/>
        <w:t>wieloletniej prognozie finansowej w następujący sposób:</w:t>
      </w:r>
    </w:p>
    <w:p w:rsidR="00125D89" w:rsidRPr="00EB0D8D" w:rsidRDefault="00125D89" w:rsidP="00125D89">
      <w:pPr>
        <w:numPr>
          <w:ilvl w:val="0"/>
          <w:numId w:val="8"/>
        </w:numPr>
        <w:tabs>
          <w:tab w:val="left" w:pos="851"/>
        </w:tabs>
        <w:autoSpaceDE w:val="0"/>
        <w:autoSpaceDN w:val="0"/>
        <w:adjustRightInd w:val="0"/>
        <w:ind w:left="851" w:hanging="567"/>
        <w:jc w:val="both"/>
        <w:rPr>
          <w:sz w:val="26"/>
          <w:szCs w:val="26"/>
        </w:rPr>
      </w:pPr>
      <w:r w:rsidRPr="00EB0D8D">
        <w:rPr>
          <w:sz w:val="26"/>
          <w:szCs w:val="26"/>
        </w:rPr>
        <w:t>jednostki budżetowe składają wnioski o zmianę do komórek organizacyjnych Urzędu nadzorujących ich merytoryczną działalność;</w:t>
      </w:r>
    </w:p>
    <w:p w:rsidR="00125D89" w:rsidRPr="00EB0D8D" w:rsidRDefault="00125D89" w:rsidP="00125D89">
      <w:pPr>
        <w:numPr>
          <w:ilvl w:val="0"/>
          <w:numId w:val="8"/>
        </w:numPr>
        <w:tabs>
          <w:tab w:val="left" w:pos="851"/>
        </w:tabs>
        <w:autoSpaceDE w:val="0"/>
        <w:autoSpaceDN w:val="0"/>
        <w:adjustRightInd w:val="0"/>
        <w:ind w:left="851" w:hanging="567"/>
        <w:jc w:val="both"/>
        <w:rPr>
          <w:sz w:val="26"/>
          <w:szCs w:val="26"/>
        </w:rPr>
      </w:pPr>
      <w:r w:rsidRPr="00EB0D8D">
        <w:rPr>
          <w:sz w:val="26"/>
          <w:szCs w:val="26"/>
        </w:rPr>
        <w:t>komórki organizacyjne Urzędu weryfikują otrzymane z jednostek budżetowych wnioski pod względem merytorycznym (tj. pod kątem zasadności dokonania zmiany) oraz formalno-rachunkowym, a następnie sporządzają wniosek zbiorczy szczegółowo uzasadniając proponowane zmiany;</w:t>
      </w:r>
    </w:p>
    <w:p w:rsidR="00125D89" w:rsidRPr="00EB0D8D" w:rsidRDefault="00125D89" w:rsidP="00125D89">
      <w:pPr>
        <w:numPr>
          <w:ilvl w:val="0"/>
          <w:numId w:val="8"/>
        </w:numPr>
        <w:tabs>
          <w:tab w:val="left" w:pos="851"/>
        </w:tabs>
        <w:autoSpaceDE w:val="0"/>
        <w:autoSpaceDN w:val="0"/>
        <w:adjustRightInd w:val="0"/>
        <w:ind w:left="851" w:hanging="567"/>
        <w:jc w:val="both"/>
        <w:rPr>
          <w:sz w:val="26"/>
          <w:szCs w:val="26"/>
        </w:rPr>
      </w:pPr>
      <w:r w:rsidRPr="00EB0D8D">
        <w:rPr>
          <w:sz w:val="26"/>
          <w:szCs w:val="26"/>
        </w:rPr>
        <w:t>odpowiedzialność za zasadność merytoryczną i terminową realizację wniosków składanych przez jednostki ponosi Dyrektor właściwej merytorycznie komórki organizacyjnej Urzędu;</w:t>
      </w:r>
    </w:p>
    <w:p w:rsidR="00125D89" w:rsidRPr="00EB0D8D" w:rsidRDefault="00125D89" w:rsidP="00125D89">
      <w:pPr>
        <w:numPr>
          <w:ilvl w:val="0"/>
          <w:numId w:val="8"/>
        </w:numPr>
        <w:tabs>
          <w:tab w:val="left" w:pos="851"/>
        </w:tabs>
        <w:autoSpaceDE w:val="0"/>
        <w:autoSpaceDN w:val="0"/>
        <w:adjustRightInd w:val="0"/>
        <w:ind w:left="851" w:hanging="567"/>
        <w:jc w:val="both"/>
        <w:rPr>
          <w:sz w:val="26"/>
          <w:szCs w:val="26"/>
        </w:rPr>
      </w:pPr>
      <w:r w:rsidRPr="00EB0D8D">
        <w:rPr>
          <w:sz w:val="26"/>
          <w:szCs w:val="26"/>
        </w:rPr>
        <w:t>składanie wniosków o dokonanie zmian w budżecie województwa</w:t>
      </w:r>
      <w:r w:rsidRPr="00EB0D8D">
        <w:rPr>
          <w:sz w:val="26"/>
          <w:szCs w:val="26"/>
        </w:rPr>
        <w:br/>
        <w:t>i wieloletniej prognozie finansowej województwa powinno nastąpić najpóźniej:</w:t>
      </w:r>
    </w:p>
    <w:p w:rsidR="00125D89" w:rsidRPr="00EB0D8D" w:rsidRDefault="00125D89" w:rsidP="00125D89">
      <w:pPr>
        <w:tabs>
          <w:tab w:val="left" w:pos="1134"/>
        </w:tabs>
        <w:autoSpaceDE w:val="0"/>
        <w:autoSpaceDN w:val="0"/>
        <w:adjustRightInd w:val="0"/>
        <w:ind w:left="1134" w:hanging="283"/>
        <w:jc w:val="both"/>
        <w:rPr>
          <w:sz w:val="26"/>
          <w:szCs w:val="26"/>
        </w:rPr>
      </w:pPr>
      <w:r w:rsidRPr="00EB0D8D">
        <w:rPr>
          <w:sz w:val="26"/>
          <w:szCs w:val="26"/>
        </w:rPr>
        <w:t>- 1 miesiąc przed planowanym terminem Sesji Sejmiku Województwa Świętokrzyskiego (w zakresie zmian należących do kompetencji organu stanowiącego),</w:t>
      </w:r>
    </w:p>
    <w:p w:rsidR="00125D89" w:rsidRPr="00EB0D8D" w:rsidRDefault="00125D89" w:rsidP="00125D89">
      <w:pPr>
        <w:tabs>
          <w:tab w:val="left" w:pos="993"/>
        </w:tabs>
        <w:autoSpaceDE w:val="0"/>
        <w:autoSpaceDN w:val="0"/>
        <w:adjustRightInd w:val="0"/>
        <w:ind w:left="993" w:hanging="142"/>
        <w:jc w:val="both"/>
        <w:rPr>
          <w:sz w:val="26"/>
          <w:szCs w:val="26"/>
        </w:rPr>
      </w:pPr>
      <w:r w:rsidRPr="00EB0D8D">
        <w:rPr>
          <w:sz w:val="26"/>
          <w:szCs w:val="26"/>
        </w:rPr>
        <w:t xml:space="preserve">- 1 tydzień przed planowanym terminem posiedzenia Zarządu Województwa Świętokrzyskiego (w zakresie zmian będących w kompetencji organu wykonawczego); </w:t>
      </w:r>
    </w:p>
    <w:p w:rsidR="00125D89" w:rsidRPr="000352DC" w:rsidRDefault="00125D89" w:rsidP="00125D89">
      <w:pPr>
        <w:numPr>
          <w:ilvl w:val="0"/>
          <w:numId w:val="8"/>
        </w:numPr>
        <w:tabs>
          <w:tab w:val="left" w:pos="851"/>
        </w:tabs>
        <w:autoSpaceDE w:val="0"/>
        <w:autoSpaceDN w:val="0"/>
        <w:adjustRightInd w:val="0"/>
        <w:ind w:left="851" w:hanging="567"/>
        <w:jc w:val="both"/>
        <w:rPr>
          <w:sz w:val="26"/>
          <w:szCs w:val="26"/>
        </w:rPr>
      </w:pPr>
      <w:r w:rsidRPr="00EB0D8D">
        <w:rPr>
          <w:sz w:val="26"/>
          <w:szCs w:val="26"/>
        </w:rPr>
        <w:t>w przypadku stwierdzenia przez Skarbnika Województwa/Z-</w:t>
      </w:r>
      <w:proofErr w:type="spellStart"/>
      <w:r w:rsidRPr="00EB0D8D">
        <w:rPr>
          <w:sz w:val="26"/>
          <w:szCs w:val="26"/>
        </w:rPr>
        <w:t>cę</w:t>
      </w:r>
      <w:proofErr w:type="spellEnd"/>
      <w:r w:rsidRPr="00EB0D8D">
        <w:rPr>
          <w:sz w:val="26"/>
          <w:szCs w:val="26"/>
        </w:rPr>
        <w:t xml:space="preserve"> Dyrektora Departamentu Budżetu i Finansów, kierownika lub pracowników Departamentu Budżetu i Finansów niezgodności z planem, błędów merytorycznych lub formalnych oraz braku merytorycznego uzasadnienia proponowanych zmian, Departament Budżetu i Finansów informuje komórkę organizacyjną Urzędu wnioskującą o zmianę w budżecie</w:t>
      </w:r>
      <w:r w:rsidRPr="00EB0D8D">
        <w:rPr>
          <w:sz w:val="26"/>
          <w:szCs w:val="26"/>
        </w:rPr>
        <w:br/>
        <w:t xml:space="preserve">o występujących niezgodnościach pisemnie lub drogą e-mailową, a w uzasadnionych przypadkach zwraca przedłożony wniosek. </w:t>
      </w:r>
      <w:r w:rsidRPr="00EB0D8D">
        <w:rPr>
          <w:sz w:val="26"/>
          <w:szCs w:val="26"/>
        </w:rPr>
        <w:br/>
        <w:t xml:space="preserve">Po otrzymaniu informacji o błędnie sporządzonym wniosku, departament jest zobowiązany dokonać ponownej analizy wniosku i złożyć do Departamentu Budżetu i Finansów stosowne korekty za pismem przewodnim podpisanym przez Dyrektora departamentu i Członka Zarządu Województwa odpowiedzialnego za ich merytoryczną działalność. Termin realizacji wniosku liczony będzie od dnia dostarczenia do Departamentu Budżetu i Finansów </w:t>
      </w:r>
      <w:r w:rsidRPr="000352DC">
        <w:rPr>
          <w:sz w:val="26"/>
          <w:szCs w:val="26"/>
        </w:rPr>
        <w:t>prawidłowo dokonanej</w:t>
      </w:r>
      <w:r w:rsidR="00246B6F" w:rsidRPr="000352DC">
        <w:rPr>
          <w:sz w:val="26"/>
          <w:szCs w:val="26"/>
        </w:rPr>
        <w:t xml:space="preserve"> korekty wniosku,</w:t>
      </w:r>
    </w:p>
    <w:p w:rsidR="008A2026" w:rsidRPr="000352DC" w:rsidRDefault="008A2026" w:rsidP="008A2026">
      <w:pPr>
        <w:pStyle w:val="Akapitzlist"/>
        <w:numPr>
          <w:ilvl w:val="0"/>
          <w:numId w:val="8"/>
        </w:numPr>
        <w:autoSpaceDE w:val="0"/>
        <w:autoSpaceDN w:val="0"/>
        <w:adjustRightInd w:val="0"/>
        <w:ind w:left="851" w:hanging="567"/>
        <w:jc w:val="both"/>
        <w:rPr>
          <w:rFonts w:eastAsiaTheme="minorHAnsi"/>
          <w:color w:val="000000"/>
          <w:sz w:val="26"/>
          <w:szCs w:val="26"/>
          <w:lang w:eastAsia="en-US"/>
        </w:rPr>
      </w:pPr>
      <w:r w:rsidRPr="000352DC">
        <w:rPr>
          <w:rFonts w:eastAsiaTheme="minorHAnsi"/>
          <w:color w:val="000000"/>
          <w:sz w:val="26"/>
          <w:szCs w:val="26"/>
          <w:lang w:eastAsia="en-US"/>
        </w:rPr>
        <w:t xml:space="preserve">w przypadku powstania wątpliwości natury formalno-prawnej na etapie </w:t>
      </w:r>
      <w:r w:rsidR="00DC1617" w:rsidRPr="000352DC">
        <w:rPr>
          <w:rFonts w:eastAsiaTheme="minorHAnsi"/>
          <w:color w:val="000000"/>
          <w:sz w:val="26"/>
          <w:szCs w:val="26"/>
          <w:lang w:eastAsia="en-US"/>
        </w:rPr>
        <w:t>analizy wniosków przez</w:t>
      </w:r>
      <w:r w:rsidRPr="000352DC">
        <w:rPr>
          <w:rFonts w:eastAsiaTheme="minorHAnsi"/>
          <w:color w:val="000000"/>
          <w:sz w:val="26"/>
          <w:szCs w:val="26"/>
          <w:lang w:eastAsia="en-US"/>
        </w:rPr>
        <w:t xml:space="preserve"> Skarbnika Województwa Świętokrzyskiego</w:t>
      </w:r>
      <w:r w:rsidR="004A43DB" w:rsidRPr="000352DC">
        <w:rPr>
          <w:rFonts w:eastAsiaTheme="minorHAnsi"/>
          <w:color w:val="000000"/>
          <w:sz w:val="26"/>
          <w:szCs w:val="26"/>
          <w:lang w:eastAsia="en-US"/>
        </w:rPr>
        <w:t>/Z-</w:t>
      </w:r>
      <w:proofErr w:type="spellStart"/>
      <w:r w:rsidR="004A43DB" w:rsidRPr="000352DC">
        <w:rPr>
          <w:rFonts w:eastAsiaTheme="minorHAnsi"/>
          <w:color w:val="000000"/>
          <w:sz w:val="26"/>
          <w:szCs w:val="26"/>
          <w:lang w:eastAsia="en-US"/>
        </w:rPr>
        <w:t>cy</w:t>
      </w:r>
      <w:proofErr w:type="spellEnd"/>
      <w:r w:rsidR="004A43DB" w:rsidRPr="000352DC">
        <w:rPr>
          <w:rFonts w:eastAsiaTheme="minorHAnsi"/>
          <w:color w:val="000000"/>
          <w:sz w:val="26"/>
          <w:szCs w:val="26"/>
          <w:lang w:eastAsia="en-US"/>
        </w:rPr>
        <w:t xml:space="preserve"> Dyrektora Departamentu Budżetu i Finansów</w:t>
      </w:r>
      <w:r w:rsidRPr="000352DC">
        <w:rPr>
          <w:rFonts w:eastAsiaTheme="minorHAnsi"/>
          <w:color w:val="000000"/>
          <w:sz w:val="26"/>
          <w:szCs w:val="26"/>
          <w:lang w:eastAsia="en-US"/>
        </w:rPr>
        <w:t>, zmiana objęta projektem wniosku wymaga formy konsultacji z radcą prawnym Urzędu Marszałkowskiego Województwa Świętokrzyskiego, w zakresie obsługi którego pozostaje departament, komórka organizacyjna wnioskująca</w:t>
      </w:r>
      <w:r w:rsidRPr="000352DC">
        <w:rPr>
          <w:rFonts w:eastAsiaTheme="minorHAnsi"/>
          <w:color w:val="000000"/>
          <w:sz w:val="26"/>
          <w:szCs w:val="26"/>
          <w:lang w:eastAsia="en-US"/>
        </w:rPr>
        <w:br/>
        <w:t>o dokonanie zmiany.</w:t>
      </w:r>
    </w:p>
    <w:p w:rsidR="008A2026" w:rsidRPr="00D06C38" w:rsidRDefault="008A2026" w:rsidP="008A2026">
      <w:pPr>
        <w:pStyle w:val="Akapitzlist"/>
        <w:autoSpaceDE w:val="0"/>
        <w:autoSpaceDN w:val="0"/>
        <w:adjustRightInd w:val="0"/>
        <w:ind w:left="851"/>
        <w:jc w:val="both"/>
        <w:rPr>
          <w:sz w:val="26"/>
          <w:szCs w:val="26"/>
        </w:rPr>
      </w:pPr>
      <w:r w:rsidRPr="000352DC">
        <w:rPr>
          <w:sz w:val="26"/>
          <w:szCs w:val="26"/>
        </w:rPr>
        <w:lastRenderedPageBreak/>
        <w:t>Uzewnętrznienie odbytych konsultacji następuje poprzez złożenie parafy radcy prawnego na wniosku lub zmienionym wniosku.</w:t>
      </w:r>
    </w:p>
    <w:p w:rsidR="00125D89" w:rsidRPr="00EB0D8D" w:rsidRDefault="00125D89" w:rsidP="00125D89">
      <w:pPr>
        <w:tabs>
          <w:tab w:val="left" w:pos="851"/>
        </w:tabs>
        <w:autoSpaceDE w:val="0"/>
        <w:autoSpaceDN w:val="0"/>
        <w:adjustRightInd w:val="0"/>
        <w:jc w:val="both"/>
        <w:rPr>
          <w:sz w:val="26"/>
          <w:szCs w:val="26"/>
        </w:rPr>
      </w:pPr>
    </w:p>
    <w:p w:rsidR="00125D89" w:rsidRPr="00EB0D8D" w:rsidRDefault="00125D89" w:rsidP="00125D89">
      <w:pPr>
        <w:numPr>
          <w:ilvl w:val="0"/>
          <w:numId w:val="1"/>
        </w:numPr>
        <w:autoSpaceDE w:val="0"/>
        <w:autoSpaceDN w:val="0"/>
        <w:adjustRightInd w:val="0"/>
        <w:ind w:left="284" w:hanging="284"/>
        <w:jc w:val="both"/>
        <w:rPr>
          <w:sz w:val="26"/>
          <w:szCs w:val="26"/>
        </w:rPr>
      </w:pPr>
      <w:r w:rsidRPr="00EB0D8D">
        <w:rPr>
          <w:sz w:val="26"/>
          <w:szCs w:val="26"/>
        </w:rPr>
        <w:t>Zaakceptowane przez Skarbnika Województwa lub Z-</w:t>
      </w:r>
      <w:proofErr w:type="spellStart"/>
      <w:r w:rsidRPr="00EB0D8D">
        <w:rPr>
          <w:sz w:val="26"/>
          <w:szCs w:val="26"/>
        </w:rPr>
        <w:t>cę</w:t>
      </w:r>
      <w:proofErr w:type="spellEnd"/>
      <w:r w:rsidRPr="00EB0D8D">
        <w:rPr>
          <w:sz w:val="26"/>
          <w:szCs w:val="26"/>
        </w:rPr>
        <w:t xml:space="preserve"> Dyrektora Departamentu Budżetu i Finansów wnioski o zmianę w budżecie/wieloletniej prognozie finansowej zostają ujęte w materiale zbiorczym i przedstawione przez Skarbnika Województwa/Z–</w:t>
      </w:r>
      <w:proofErr w:type="spellStart"/>
      <w:r w:rsidRPr="00EB0D8D">
        <w:rPr>
          <w:sz w:val="26"/>
          <w:szCs w:val="26"/>
        </w:rPr>
        <w:t>cę</w:t>
      </w:r>
      <w:proofErr w:type="spellEnd"/>
      <w:r w:rsidRPr="00EB0D8D">
        <w:rPr>
          <w:sz w:val="26"/>
          <w:szCs w:val="26"/>
        </w:rPr>
        <w:t xml:space="preserve"> Dyrektora Departamentu Budżetu i Fi</w:t>
      </w:r>
      <w:r>
        <w:rPr>
          <w:sz w:val="26"/>
          <w:szCs w:val="26"/>
        </w:rPr>
        <w:t>n</w:t>
      </w:r>
      <w:r w:rsidRPr="00EB0D8D">
        <w:rPr>
          <w:sz w:val="26"/>
          <w:szCs w:val="26"/>
        </w:rPr>
        <w:t xml:space="preserve">ansów lub wyznaczoną osobę na posiedzeniu Zarządu Województwa, w formie projektu zmiany uchwały budżetowej lub zmiany uchwały w sprawie wieloletniej prognozy finansowej. </w:t>
      </w:r>
    </w:p>
    <w:p w:rsidR="00125D89" w:rsidRPr="00EB0D8D" w:rsidRDefault="00125D89" w:rsidP="00125D89">
      <w:pPr>
        <w:numPr>
          <w:ilvl w:val="0"/>
          <w:numId w:val="1"/>
        </w:numPr>
        <w:autoSpaceDE w:val="0"/>
        <w:autoSpaceDN w:val="0"/>
        <w:adjustRightInd w:val="0"/>
        <w:ind w:left="284" w:hanging="284"/>
        <w:jc w:val="both"/>
        <w:rPr>
          <w:sz w:val="26"/>
          <w:szCs w:val="26"/>
        </w:rPr>
      </w:pPr>
      <w:r w:rsidRPr="00EB0D8D">
        <w:rPr>
          <w:sz w:val="26"/>
          <w:szCs w:val="26"/>
        </w:rPr>
        <w:t>Wnioski zakwalifikowane przez Skarbnika Województwa lub Z-</w:t>
      </w:r>
      <w:proofErr w:type="spellStart"/>
      <w:r w:rsidRPr="00EB0D8D">
        <w:rPr>
          <w:sz w:val="26"/>
          <w:szCs w:val="26"/>
        </w:rPr>
        <w:t>cę</w:t>
      </w:r>
      <w:proofErr w:type="spellEnd"/>
      <w:r w:rsidRPr="00EB0D8D">
        <w:rPr>
          <w:sz w:val="26"/>
          <w:szCs w:val="26"/>
        </w:rPr>
        <w:t xml:space="preserve"> Dyrektora Departamentu Budżetu i Finansów do odrębnej akceptacji Zarządu Województwa podlegają indywidualnemu przedłożeniu przez Dyrektora/Kierownika komórki organizacyjnej Urzędu na posiedzeniu Zarządu.</w:t>
      </w:r>
    </w:p>
    <w:p w:rsidR="00125D89" w:rsidRPr="00EB0D8D" w:rsidRDefault="00125D89" w:rsidP="00125D89">
      <w:pPr>
        <w:numPr>
          <w:ilvl w:val="0"/>
          <w:numId w:val="1"/>
        </w:numPr>
        <w:autoSpaceDE w:val="0"/>
        <w:autoSpaceDN w:val="0"/>
        <w:adjustRightInd w:val="0"/>
        <w:ind w:left="284" w:hanging="284"/>
        <w:jc w:val="both"/>
        <w:rPr>
          <w:sz w:val="26"/>
          <w:szCs w:val="26"/>
        </w:rPr>
      </w:pPr>
      <w:r w:rsidRPr="00EB0D8D">
        <w:rPr>
          <w:sz w:val="26"/>
          <w:szCs w:val="26"/>
        </w:rPr>
        <w:t>Zatwierdzenie wnioskowanych zmian w budżecie i wieloletniej prognozie finansowej następuje wraz z przyjęciem uchwały przez Zarząd Województwa lub Sejmik Województwa.</w:t>
      </w:r>
    </w:p>
    <w:p w:rsidR="00125D89" w:rsidRPr="00EB0D8D" w:rsidRDefault="00125D89" w:rsidP="00125D89">
      <w:pPr>
        <w:numPr>
          <w:ilvl w:val="0"/>
          <w:numId w:val="1"/>
        </w:numPr>
        <w:autoSpaceDE w:val="0"/>
        <w:autoSpaceDN w:val="0"/>
        <w:adjustRightInd w:val="0"/>
        <w:ind w:left="284" w:hanging="284"/>
        <w:jc w:val="both"/>
        <w:rPr>
          <w:sz w:val="26"/>
          <w:szCs w:val="26"/>
        </w:rPr>
      </w:pPr>
      <w:r w:rsidRPr="00EB0D8D">
        <w:rPr>
          <w:sz w:val="26"/>
          <w:szCs w:val="26"/>
        </w:rPr>
        <w:t xml:space="preserve">Departament Budżetu i Finansów niezwłocznie po podjęciu uchwał (nie później niż w terminie 3 dni od dnia dokonania zmiany w budżecie/wieloletniej prognozie finansowej) przesyła załączniki dotyczące dochodów, wydatków i przedsięwzięć w programie firmy </w:t>
      </w:r>
      <w:proofErr w:type="spellStart"/>
      <w:r w:rsidRPr="00EB0D8D">
        <w:rPr>
          <w:sz w:val="26"/>
          <w:szCs w:val="26"/>
        </w:rPr>
        <w:t>ProKomp</w:t>
      </w:r>
      <w:proofErr w:type="spellEnd"/>
      <w:r w:rsidRPr="00EB0D8D">
        <w:rPr>
          <w:sz w:val="26"/>
          <w:szCs w:val="26"/>
        </w:rPr>
        <w:t xml:space="preserve"> do poszczególnych departamentów, w części objętej zakresem ich działania oraz przekazuje uchwalone uchwały (w formie elektronicznej) do Kancelarii Zarządu celem zamieszczenia ich w Biuletynie Informacji Publicznej oraz Departamentu Organizacyjn</w:t>
      </w:r>
      <w:r w:rsidR="00D82FAF">
        <w:rPr>
          <w:sz w:val="26"/>
          <w:szCs w:val="26"/>
        </w:rPr>
        <w:t>ego i Kadr</w:t>
      </w:r>
      <w:r w:rsidRPr="00EB0D8D">
        <w:rPr>
          <w:sz w:val="26"/>
          <w:szCs w:val="26"/>
        </w:rPr>
        <w:t xml:space="preserve"> celem zamieszczenia na stronie internetowej http://intranet.sejmik.kielce.pl/,</w:t>
      </w:r>
      <w:r w:rsidRPr="00EB0D8D">
        <w:rPr>
          <w:b/>
          <w:sz w:val="26"/>
          <w:szCs w:val="26"/>
        </w:rPr>
        <w:t xml:space="preserve"> </w:t>
      </w:r>
      <w:r w:rsidRPr="00EB0D8D">
        <w:rPr>
          <w:sz w:val="26"/>
          <w:szCs w:val="26"/>
        </w:rPr>
        <w:t>co stanowi</w:t>
      </w:r>
      <w:r w:rsidRPr="00EB0D8D">
        <w:rPr>
          <w:b/>
          <w:sz w:val="26"/>
          <w:szCs w:val="26"/>
        </w:rPr>
        <w:t xml:space="preserve"> </w:t>
      </w:r>
      <w:r w:rsidRPr="00EB0D8D">
        <w:rPr>
          <w:sz w:val="26"/>
          <w:szCs w:val="26"/>
        </w:rPr>
        <w:t xml:space="preserve">informację dla poszczególnych komórek organizacyjnych Urzędu Marszałkowskiego o ich podjęciu. Na tej podstawie komórki organizacyjne Urzędu przekazują informacje jednostkom, nad którymi sprawują nadzór merytoryczny, w zakresie realizowanych zadań. </w:t>
      </w:r>
    </w:p>
    <w:p w:rsidR="00125D89" w:rsidRPr="00EB0D8D" w:rsidRDefault="00125D89" w:rsidP="00125D89">
      <w:pPr>
        <w:numPr>
          <w:ilvl w:val="0"/>
          <w:numId w:val="1"/>
        </w:numPr>
        <w:autoSpaceDE w:val="0"/>
        <w:autoSpaceDN w:val="0"/>
        <w:adjustRightInd w:val="0"/>
        <w:ind w:left="284" w:hanging="284"/>
        <w:jc w:val="both"/>
        <w:rPr>
          <w:sz w:val="26"/>
          <w:szCs w:val="26"/>
        </w:rPr>
      </w:pPr>
      <w:r w:rsidRPr="00EB0D8D">
        <w:rPr>
          <w:sz w:val="26"/>
          <w:szCs w:val="26"/>
        </w:rPr>
        <w:t xml:space="preserve">Zawiadomienia o podjętych uchwałach, o których mowa w pkt 8, </w:t>
      </w:r>
      <w:r w:rsidRPr="00EB0D8D">
        <w:rPr>
          <w:sz w:val="26"/>
          <w:szCs w:val="26"/>
        </w:rPr>
        <w:br/>
        <w:t>stanowią podstawę dokonania zmian w planach finansowych jednostek.</w:t>
      </w:r>
    </w:p>
    <w:p w:rsidR="00125D89" w:rsidRPr="00EB0D8D" w:rsidRDefault="00125D89" w:rsidP="00125D89">
      <w:pPr>
        <w:numPr>
          <w:ilvl w:val="0"/>
          <w:numId w:val="1"/>
        </w:numPr>
        <w:autoSpaceDE w:val="0"/>
        <w:autoSpaceDN w:val="0"/>
        <w:adjustRightInd w:val="0"/>
        <w:ind w:left="284" w:hanging="426"/>
        <w:jc w:val="both"/>
        <w:rPr>
          <w:sz w:val="26"/>
          <w:szCs w:val="26"/>
        </w:rPr>
      </w:pPr>
      <w:r w:rsidRPr="00EB0D8D">
        <w:rPr>
          <w:sz w:val="26"/>
          <w:szCs w:val="26"/>
        </w:rPr>
        <w:t xml:space="preserve">W przypadku zmian w budżecie </w:t>
      </w:r>
      <w:bookmarkStart w:id="12" w:name="_Hlk502734442"/>
      <w:r w:rsidRPr="00EB0D8D">
        <w:rPr>
          <w:sz w:val="26"/>
          <w:szCs w:val="26"/>
        </w:rPr>
        <w:t xml:space="preserve">w danym roku, departament realizujący, po otrzymaniu w programie firmy </w:t>
      </w:r>
      <w:proofErr w:type="spellStart"/>
      <w:r w:rsidRPr="00EB0D8D">
        <w:rPr>
          <w:sz w:val="26"/>
          <w:szCs w:val="26"/>
        </w:rPr>
        <w:t>ProKomp</w:t>
      </w:r>
      <w:proofErr w:type="spellEnd"/>
      <w:r w:rsidRPr="00EB0D8D">
        <w:rPr>
          <w:sz w:val="26"/>
          <w:szCs w:val="26"/>
        </w:rPr>
        <w:t xml:space="preserve"> załączników z podjętej już uchwały w module „Planowanie”, dokonuje weryfikacji ich zgodności z materiałami przekazanymi do Departamentu Budżetu i Finansów oraz usuwa wprowadzone wcześniej projekty, celem zachowania zgodności wartości poszczególnych kwot ze stanem faktycznym. W przypadku stwierdzenia przez departament realizujący niezgodności przesłanych załączników (tj. braku załącznika bądź powieleniu jakiegoś załącznika), informuje o tym fakcie pracowników Oddziału Budżetu Wieloletniej Prognozy Finansowej i Sprawozdawczości, natomiast w przypadku innych niezgodności (tj. związanych z użytkowaniem oraz obsługą programu </w:t>
      </w:r>
      <w:proofErr w:type="spellStart"/>
      <w:r w:rsidRPr="00EB0D8D">
        <w:rPr>
          <w:sz w:val="26"/>
          <w:szCs w:val="26"/>
        </w:rPr>
        <w:t>ProKomp</w:t>
      </w:r>
      <w:proofErr w:type="spellEnd"/>
      <w:r w:rsidRPr="00EB0D8D">
        <w:rPr>
          <w:sz w:val="26"/>
          <w:szCs w:val="26"/>
        </w:rPr>
        <w:t xml:space="preserve">) - pracownika Jednoosobowego Stanowiska ds. Wdrażania i Obsługi Systemu Zarządzania Finansami. </w:t>
      </w:r>
    </w:p>
    <w:bookmarkEnd w:id="12"/>
    <w:p w:rsidR="00125D89" w:rsidRPr="00EB0D8D" w:rsidRDefault="00125D89" w:rsidP="00125D89">
      <w:pPr>
        <w:numPr>
          <w:ilvl w:val="0"/>
          <w:numId w:val="1"/>
        </w:numPr>
        <w:autoSpaceDE w:val="0"/>
        <w:autoSpaceDN w:val="0"/>
        <w:adjustRightInd w:val="0"/>
        <w:ind w:left="284" w:hanging="426"/>
        <w:jc w:val="both"/>
        <w:rPr>
          <w:sz w:val="26"/>
          <w:szCs w:val="26"/>
        </w:rPr>
      </w:pPr>
      <w:r w:rsidRPr="00EB0D8D">
        <w:rPr>
          <w:sz w:val="26"/>
          <w:szCs w:val="26"/>
        </w:rPr>
        <w:t xml:space="preserve">W przypadku zmian w wieloletniej prognozie finansowej/wykazie przedsięwzięć, po przyjęciu uchwały przez Zarząd Województwa lub Sejmik Województwa aktualizowane są bazy poszczególnych departamentów w module „WPF”. Departament realizujący, dokonuje weryfikacji zgodności wprowadzonych zmian </w:t>
      </w:r>
      <w:r w:rsidRPr="00EB0D8D">
        <w:rPr>
          <w:sz w:val="26"/>
          <w:szCs w:val="26"/>
        </w:rPr>
        <w:lastRenderedPageBreak/>
        <w:t xml:space="preserve">z materiałami przekazanymi do Departamentu Budżetu i Finansów oraz usuwa wprowadzone wcześniej projekty, celem zachowania zgodności wartości poszczególnych kwot ze stanem faktycznym. W przypadku stwierdzenia przez departament realizujący niezgodności zaktualizowanych danych, informuje o tym fakcie pracowników Oddziału Budżetu Wieloletniej Prognozy Finansowej i Sprawozdawczości, natomiast w przypadku innych niezgodności (tj. związanych z użytkowaniem oraz obsługą programu </w:t>
      </w:r>
      <w:proofErr w:type="spellStart"/>
      <w:r w:rsidRPr="00EB0D8D">
        <w:rPr>
          <w:sz w:val="26"/>
          <w:szCs w:val="26"/>
        </w:rPr>
        <w:t>ProKomp</w:t>
      </w:r>
      <w:proofErr w:type="spellEnd"/>
      <w:r w:rsidRPr="00EB0D8D">
        <w:rPr>
          <w:sz w:val="26"/>
          <w:szCs w:val="26"/>
        </w:rPr>
        <w:t>) - pracownika Jednoosobowego Stanowiska ds. Wdrażania i Obsługi Systemu Zarządzania Finansami.</w:t>
      </w:r>
    </w:p>
    <w:p w:rsidR="00125D89" w:rsidRPr="00EB0D8D" w:rsidRDefault="00125D89" w:rsidP="00125D89">
      <w:pPr>
        <w:numPr>
          <w:ilvl w:val="0"/>
          <w:numId w:val="1"/>
        </w:numPr>
        <w:autoSpaceDE w:val="0"/>
        <w:autoSpaceDN w:val="0"/>
        <w:adjustRightInd w:val="0"/>
        <w:ind w:left="284" w:hanging="426"/>
        <w:jc w:val="both"/>
        <w:rPr>
          <w:sz w:val="26"/>
          <w:szCs w:val="26"/>
        </w:rPr>
      </w:pPr>
      <w:r w:rsidRPr="00EB0D8D">
        <w:rPr>
          <w:sz w:val="26"/>
          <w:szCs w:val="26"/>
        </w:rPr>
        <w:t>Kierownicy jednostek w terminie nie dłuższym niż 7 dni od dnia otrzymania   informacji o zmianach w budżecie dokonują odpowiedniej zmiany planu finansowego.</w:t>
      </w:r>
    </w:p>
    <w:p w:rsidR="00125D89" w:rsidRPr="00EB0D8D" w:rsidRDefault="00125D89" w:rsidP="00125D89">
      <w:pPr>
        <w:numPr>
          <w:ilvl w:val="0"/>
          <w:numId w:val="1"/>
        </w:numPr>
        <w:autoSpaceDE w:val="0"/>
        <w:autoSpaceDN w:val="0"/>
        <w:adjustRightInd w:val="0"/>
        <w:ind w:left="284" w:hanging="426"/>
        <w:jc w:val="both"/>
        <w:rPr>
          <w:sz w:val="26"/>
          <w:szCs w:val="26"/>
        </w:rPr>
      </w:pPr>
      <w:r w:rsidRPr="00EB0D8D">
        <w:rPr>
          <w:sz w:val="26"/>
          <w:szCs w:val="26"/>
        </w:rPr>
        <w:t>W przypadku planowania zawarcia umowy leasingu przez departament Urzędu Marszałkowskiego/podległą jednostkę budżetową wymagane jest przedłożenie do Departamentu Budżetu i Finansów projektu umowy w celu ustalenia zapisów w umowie dotyczących warunków leasingu jak również, ustalenia, czy stanowić on będzie element długu publicznego. Zawarcie umowy możliwe będzie po uzyskaniu akceptacji Skarbnika/ Z-</w:t>
      </w:r>
      <w:proofErr w:type="spellStart"/>
      <w:r w:rsidRPr="00EB0D8D">
        <w:rPr>
          <w:sz w:val="26"/>
          <w:szCs w:val="26"/>
        </w:rPr>
        <w:t>cy</w:t>
      </w:r>
      <w:proofErr w:type="spellEnd"/>
      <w:r w:rsidRPr="00EB0D8D">
        <w:rPr>
          <w:sz w:val="26"/>
          <w:szCs w:val="26"/>
        </w:rPr>
        <w:t xml:space="preserve"> Dyrektora Departamentu Budżetu i Finansów. </w:t>
      </w:r>
    </w:p>
    <w:p w:rsidR="00125D89" w:rsidRPr="00EB0D8D" w:rsidRDefault="00125D89" w:rsidP="00125D89">
      <w:pPr>
        <w:numPr>
          <w:ilvl w:val="0"/>
          <w:numId w:val="1"/>
        </w:numPr>
        <w:autoSpaceDE w:val="0"/>
        <w:autoSpaceDN w:val="0"/>
        <w:adjustRightInd w:val="0"/>
        <w:ind w:left="284" w:hanging="426"/>
        <w:jc w:val="both"/>
        <w:rPr>
          <w:sz w:val="26"/>
          <w:szCs w:val="26"/>
        </w:rPr>
      </w:pPr>
      <w:r w:rsidRPr="00EB0D8D">
        <w:rPr>
          <w:sz w:val="26"/>
          <w:szCs w:val="26"/>
        </w:rPr>
        <w:t xml:space="preserve">W przypadku planowania zawarcia umowy zakupu na raty </w:t>
      </w:r>
      <w:bookmarkStart w:id="13" w:name="_Hlk531164725"/>
      <w:r w:rsidRPr="00EB0D8D">
        <w:rPr>
          <w:sz w:val="26"/>
          <w:szCs w:val="26"/>
        </w:rPr>
        <w:t xml:space="preserve">przez departament Urzędu Marszałkowskiego/podległą jednostkę budżetową, </w:t>
      </w:r>
      <w:bookmarkEnd w:id="13"/>
      <w:r w:rsidRPr="00EB0D8D">
        <w:rPr>
          <w:sz w:val="26"/>
          <w:szCs w:val="26"/>
        </w:rPr>
        <w:t>związanej z finansowaniem usług, dostaw, robót budowlanych, która wywołuje skutki ekonomiczne podobne do umowy pożyczki lub kredytu i której termin zapłaty jest dłuższy niż rok (np. umowy z operatorem telefonii komórkowej, w tym: raty związane z zakupem telefonu komórkowego), wymagane jest przedłożenie do Departamentu Budżetu i Finansów informacji o wysokości rat w podziale na poszczególne lata.</w:t>
      </w:r>
    </w:p>
    <w:p w:rsidR="00125D89" w:rsidRPr="00EB0D8D" w:rsidRDefault="00125D89" w:rsidP="00125D89">
      <w:pPr>
        <w:numPr>
          <w:ilvl w:val="0"/>
          <w:numId w:val="1"/>
        </w:numPr>
        <w:autoSpaceDE w:val="0"/>
        <w:autoSpaceDN w:val="0"/>
        <w:adjustRightInd w:val="0"/>
        <w:ind w:left="284" w:hanging="426"/>
        <w:jc w:val="both"/>
        <w:rPr>
          <w:sz w:val="26"/>
          <w:szCs w:val="26"/>
        </w:rPr>
      </w:pPr>
      <w:r w:rsidRPr="00EB0D8D">
        <w:rPr>
          <w:sz w:val="26"/>
          <w:szCs w:val="26"/>
        </w:rPr>
        <w:t xml:space="preserve">W przypadku zawarcia przez departament Urzędu Marszałkowskiego/podległą jednostkę budżetową umowy leasingu lub innej umowy, z których zobowiązania stanowią dług publiczny, wymagane jest przedłożenie do Departamentu Budżetu i Finansów informacji o wysokości rat w podziale na poszczególne lata. </w:t>
      </w:r>
    </w:p>
    <w:p w:rsidR="00125D89" w:rsidRPr="00EB0D8D" w:rsidRDefault="00125D89" w:rsidP="00125D89">
      <w:pPr>
        <w:numPr>
          <w:ilvl w:val="0"/>
          <w:numId w:val="1"/>
        </w:numPr>
        <w:autoSpaceDE w:val="0"/>
        <w:autoSpaceDN w:val="0"/>
        <w:adjustRightInd w:val="0"/>
        <w:ind w:left="284" w:hanging="426"/>
        <w:jc w:val="both"/>
        <w:rPr>
          <w:sz w:val="26"/>
          <w:szCs w:val="26"/>
        </w:rPr>
      </w:pPr>
      <w:r w:rsidRPr="00EB0D8D">
        <w:rPr>
          <w:sz w:val="26"/>
          <w:szCs w:val="26"/>
        </w:rPr>
        <w:t>Uchwała wraz z obowiązującymi załącznikami dostępna będzie na stronie internetowej http://intranet.sejmik.kielce.pl/.</w:t>
      </w:r>
    </w:p>
    <w:p w:rsidR="00125D89" w:rsidRPr="00EB0D8D" w:rsidRDefault="00125D89" w:rsidP="00125D89">
      <w:pPr>
        <w:autoSpaceDE w:val="0"/>
        <w:autoSpaceDN w:val="0"/>
        <w:adjustRightInd w:val="0"/>
        <w:ind w:left="284" w:hanging="284"/>
        <w:jc w:val="both"/>
        <w:rPr>
          <w:sz w:val="26"/>
          <w:szCs w:val="26"/>
        </w:rPr>
      </w:pPr>
    </w:p>
    <w:p w:rsidR="00125D89" w:rsidRPr="000352DC" w:rsidRDefault="00125D89" w:rsidP="00125D89">
      <w:pPr>
        <w:pStyle w:val="Akapitzlist"/>
        <w:numPr>
          <w:ilvl w:val="0"/>
          <w:numId w:val="5"/>
        </w:numPr>
        <w:ind w:left="0" w:hanging="426"/>
        <w:jc w:val="both"/>
        <w:rPr>
          <w:b/>
          <w:bCs/>
          <w:sz w:val="26"/>
          <w:szCs w:val="26"/>
        </w:rPr>
      </w:pPr>
      <w:r w:rsidRPr="000352DC">
        <w:rPr>
          <w:b/>
          <w:sz w:val="26"/>
          <w:szCs w:val="26"/>
        </w:rPr>
        <w:t xml:space="preserve">Sporządzanie harmonogramów dochodów i wydatków </w:t>
      </w:r>
      <w:r w:rsidRPr="000352DC">
        <w:rPr>
          <w:b/>
          <w:bCs/>
          <w:sz w:val="26"/>
          <w:szCs w:val="26"/>
        </w:rPr>
        <w:t>przez Departamenty Urzędu Marszałkowskiego/równorzędne komórki organizacyjne oraz podległe jednostki budżetowe</w:t>
      </w:r>
    </w:p>
    <w:p w:rsidR="00125D89" w:rsidRPr="000352DC" w:rsidRDefault="00125D89" w:rsidP="00125D89">
      <w:pPr>
        <w:rPr>
          <w:sz w:val="26"/>
          <w:szCs w:val="26"/>
        </w:rPr>
      </w:pPr>
    </w:p>
    <w:p w:rsidR="00E460FE" w:rsidRPr="000352DC" w:rsidRDefault="00125D89" w:rsidP="009A2FE7">
      <w:pPr>
        <w:pStyle w:val="Akapitzlist"/>
        <w:numPr>
          <w:ilvl w:val="0"/>
          <w:numId w:val="10"/>
        </w:numPr>
        <w:tabs>
          <w:tab w:val="left" w:pos="284"/>
        </w:tabs>
        <w:ind w:left="284" w:hanging="284"/>
        <w:jc w:val="both"/>
        <w:rPr>
          <w:sz w:val="26"/>
          <w:szCs w:val="26"/>
          <w:u w:val="single"/>
        </w:rPr>
      </w:pPr>
      <w:r w:rsidRPr="000352DC">
        <w:rPr>
          <w:sz w:val="26"/>
          <w:szCs w:val="26"/>
        </w:rPr>
        <w:t xml:space="preserve">Departamenty Urzędu Marszałkowskiego oraz podległe jednostki budżetowe </w:t>
      </w:r>
      <w:r w:rsidR="00E460FE" w:rsidRPr="000352DC">
        <w:rPr>
          <w:sz w:val="26"/>
          <w:szCs w:val="26"/>
        </w:rPr>
        <w:t>opracowują harmonogram realizacji budżetu województwa, w częściach objętych zakresem działania danego Departamentu/jednostki</w:t>
      </w:r>
      <w:r w:rsidR="0053166E" w:rsidRPr="000352DC">
        <w:rPr>
          <w:sz w:val="26"/>
          <w:szCs w:val="26"/>
        </w:rPr>
        <w:t>.</w:t>
      </w:r>
    </w:p>
    <w:p w:rsidR="004C743E" w:rsidRPr="000352DC" w:rsidRDefault="004C743E" w:rsidP="0053166E">
      <w:pPr>
        <w:pStyle w:val="Akapitzlist"/>
        <w:numPr>
          <w:ilvl w:val="0"/>
          <w:numId w:val="10"/>
        </w:numPr>
        <w:tabs>
          <w:tab w:val="left" w:pos="284"/>
        </w:tabs>
        <w:ind w:left="284" w:hanging="284"/>
        <w:jc w:val="both"/>
        <w:rPr>
          <w:sz w:val="26"/>
          <w:szCs w:val="26"/>
          <w:u w:val="single"/>
        </w:rPr>
      </w:pPr>
      <w:r w:rsidRPr="000352DC">
        <w:rPr>
          <w:sz w:val="26"/>
          <w:szCs w:val="26"/>
        </w:rPr>
        <w:t xml:space="preserve">Harmonogramy dochodów i wydatków sporządza się  na podstawie opracowanych wzorów tabel, zgodnie z instrukcją dostępną na stronie Urzędu </w:t>
      </w:r>
      <w:hyperlink r:id="rId11" w:history="1">
        <w:r w:rsidRPr="000352DC">
          <w:rPr>
            <w:rStyle w:val="Hipercze"/>
            <w:sz w:val="26"/>
            <w:szCs w:val="26"/>
          </w:rPr>
          <w:t>http://intranet.sejmik.kielce.pl/Dokumenty</w:t>
        </w:r>
      </w:hyperlink>
      <w:r w:rsidRPr="000352DC">
        <w:rPr>
          <w:rStyle w:val="Hipercze"/>
          <w:sz w:val="26"/>
          <w:szCs w:val="26"/>
        </w:rPr>
        <w:t>budżetowe</w:t>
      </w:r>
      <w:r w:rsidRPr="000352DC">
        <w:rPr>
          <w:sz w:val="26"/>
          <w:szCs w:val="26"/>
        </w:rPr>
        <w:t>).</w:t>
      </w:r>
    </w:p>
    <w:p w:rsidR="00E460FE" w:rsidRPr="000352DC" w:rsidRDefault="00E460FE" w:rsidP="009A2FE7">
      <w:pPr>
        <w:pStyle w:val="Akapitzlist"/>
        <w:numPr>
          <w:ilvl w:val="0"/>
          <w:numId w:val="10"/>
        </w:numPr>
        <w:tabs>
          <w:tab w:val="left" w:pos="284"/>
        </w:tabs>
        <w:ind w:left="284" w:hanging="284"/>
        <w:jc w:val="both"/>
        <w:rPr>
          <w:sz w:val="26"/>
          <w:szCs w:val="26"/>
          <w:u w:val="single"/>
        </w:rPr>
      </w:pPr>
      <w:r w:rsidRPr="000352DC">
        <w:rPr>
          <w:sz w:val="26"/>
          <w:szCs w:val="26"/>
        </w:rPr>
        <w:t xml:space="preserve">Prognozowane dochody budżetu, jak i wielkość wydatków, planowanych </w:t>
      </w:r>
      <w:r w:rsidR="0053166E" w:rsidRPr="000352DC">
        <w:rPr>
          <w:sz w:val="26"/>
          <w:szCs w:val="26"/>
        </w:rPr>
        <w:br/>
      </w:r>
      <w:r w:rsidRPr="000352DC">
        <w:rPr>
          <w:sz w:val="26"/>
          <w:szCs w:val="26"/>
        </w:rPr>
        <w:t xml:space="preserve">do sfinansowania w danym roku budżetowym, sporządza się w podziale </w:t>
      </w:r>
      <w:r w:rsidR="0053166E" w:rsidRPr="000352DC">
        <w:rPr>
          <w:sz w:val="26"/>
          <w:szCs w:val="26"/>
        </w:rPr>
        <w:br/>
      </w:r>
      <w:r w:rsidRPr="000352DC">
        <w:rPr>
          <w:sz w:val="26"/>
          <w:szCs w:val="26"/>
        </w:rPr>
        <w:t>na poszczególne miesiące roku. Harmonogram podlega comiesięcznej aktualizacji</w:t>
      </w:r>
      <w:r w:rsidR="00D17AEF" w:rsidRPr="000352DC">
        <w:rPr>
          <w:sz w:val="26"/>
          <w:szCs w:val="26"/>
        </w:rPr>
        <w:t>.</w:t>
      </w:r>
      <w:r w:rsidRPr="000352DC">
        <w:rPr>
          <w:sz w:val="26"/>
          <w:szCs w:val="26"/>
        </w:rPr>
        <w:t xml:space="preserve"> </w:t>
      </w:r>
      <w:r w:rsidR="00DF7941" w:rsidRPr="000352DC">
        <w:rPr>
          <w:sz w:val="26"/>
          <w:szCs w:val="26"/>
        </w:rPr>
        <w:t>W</w:t>
      </w:r>
      <w:r w:rsidR="00D17AEF" w:rsidRPr="000352DC">
        <w:rPr>
          <w:sz w:val="26"/>
          <w:szCs w:val="26"/>
        </w:rPr>
        <w:t xml:space="preserve"> minionych miesiącach wykazane powinny być faktycznie zrealizowane kwoty </w:t>
      </w:r>
      <w:r w:rsidR="00D17AEF" w:rsidRPr="000352DC">
        <w:rPr>
          <w:sz w:val="26"/>
          <w:szCs w:val="26"/>
        </w:rPr>
        <w:lastRenderedPageBreak/>
        <w:t>dochodów i wydatków</w:t>
      </w:r>
      <w:r w:rsidR="00DF7941" w:rsidRPr="000352DC">
        <w:rPr>
          <w:sz w:val="26"/>
          <w:szCs w:val="26"/>
        </w:rPr>
        <w:t>, a w następnych miesiącach plan dochodów i wydatków według stanu przewidywanego</w:t>
      </w:r>
      <w:r w:rsidRPr="000352DC">
        <w:rPr>
          <w:sz w:val="26"/>
          <w:szCs w:val="26"/>
        </w:rPr>
        <w:t xml:space="preserve">. </w:t>
      </w:r>
    </w:p>
    <w:p w:rsidR="00FA6E01" w:rsidRPr="000352DC" w:rsidRDefault="00125D89" w:rsidP="00125D89">
      <w:pPr>
        <w:pStyle w:val="Akapitzlist"/>
        <w:numPr>
          <w:ilvl w:val="0"/>
          <w:numId w:val="10"/>
        </w:numPr>
        <w:tabs>
          <w:tab w:val="left" w:pos="284"/>
        </w:tabs>
        <w:ind w:left="284" w:hanging="284"/>
        <w:jc w:val="both"/>
        <w:rPr>
          <w:sz w:val="26"/>
          <w:szCs w:val="26"/>
        </w:rPr>
      </w:pPr>
      <w:r w:rsidRPr="000352DC">
        <w:rPr>
          <w:sz w:val="26"/>
          <w:szCs w:val="26"/>
        </w:rPr>
        <w:t xml:space="preserve">Tabele wypełniają osobno poszczególne jednostki budżetowe Województwa </w:t>
      </w:r>
      <w:r w:rsidRPr="000352DC">
        <w:rPr>
          <w:sz w:val="26"/>
          <w:szCs w:val="26"/>
        </w:rPr>
        <w:br/>
        <w:t xml:space="preserve">oraz Departamenty </w:t>
      </w:r>
      <w:r w:rsidR="009A2FE7" w:rsidRPr="000352DC">
        <w:rPr>
          <w:sz w:val="26"/>
          <w:szCs w:val="26"/>
        </w:rPr>
        <w:t xml:space="preserve">i komórki organizacyjne Urzędu, w części budżetowej, której są dysponentem środków. </w:t>
      </w:r>
    </w:p>
    <w:p w:rsidR="0053166E" w:rsidRPr="000352DC" w:rsidRDefault="00FA6E01" w:rsidP="0053166E">
      <w:pPr>
        <w:pStyle w:val="Akapitzlist"/>
        <w:numPr>
          <w:ilvl w:val="0"/>
          <w:numId w:val="10"/>
        </w:numPr>
        <w:tabs>
          <w:tab w:val="left" w:pos="284"/>
        </w:tabs>
        <w:ind w:left="284" w:hanging="284"/>
        <w:jc w:val="both"/>
        <w:rPr>
          <w:sz w:val="26"/>
          <w:szCs w:val="26"/>
        </w:rPr>
      </w:pPr>
      <w:r w:rsidRPr="000352DC">
        <w:rPr>
          <w:sz w:val="26"/>
          <w:szCs w:val="26"/>
        </w:rPr>
        <w:t>Jednostki bud</w:t>
      </w:r>
      <w:r w:rsidRPr="000352DC">
        <w:rPr>
          <w:rFonts w:hint="eastAsia"/>
          <w:sz w:val="26"/>
          <w:szCs w:val="26"/>
        </w:rPr>
        <w:t>ż</w:t>
      </w:r>
      <w:r w:rsidRPr="000352DC">
        <w:rPr>
          <w:sz w:val="26"/>
          <w:szCs w:val="26"/>
        </w:rPr>
        <w:t>etowe przedk</w:t>
      </w:r>
      <w:r w:rsidRPr="000352DC">
        <w:rPr>
          <w:rFonts w:hint="eastAsia"/>
          <w:sz w:val="26"/>
          <w:szCs w:val="26"/>
        </w:rPr>
        <w:t>ł</w:t>
      </w:r>
      <w:r w:rsidRPr="000352DC">
        <w:rPr>
          <w:sz w:val="26"/>
          <w:szCs w:val="26"/>
        </w:rPr>
        <w:t>adaj</w:t>
      </w:r>
      <w:r w:rsidRPr="000352DC">
        <w:rPr>
          <w:rFonts w:hint="eastAsia"/>
          <w:sz w:val="26"/>
          <w:szCs w:val="26"/>
        </w:rPr>
        <w:t>ą</w:t>
      </w:r>
      <w:r w:rsidRPr="000352DC">
        <w:rPr>
          <w:sz w:val="26"/>
          <w:szCs w:val="26"/>
        </w:rPr>
        <w:t xml:space="preserve"> do wiadomo</w:t>
      </w:r>
      <w:r w:rsidRPr="000352DC">
        <w:rPr>
          <w:rFonts w:hint="eastAsia"/>
          <w:sz w:val="26"/>
          <w:szCs w:val="26"/>
        </w:rPr>
        <w:t>ś</w:t>
      </w:r>
      <w:r w:rsidRPr="000352DC">
        <w:rPr>
          <w:sz w:val="26"/>
          <w:szCs w:val="26"/>
        </w:rPr>
        <w:t>ci Departamentu nadzoruj</w:t>
      </w:r>
      <w:r w:rsidRPr="000352DC">
        <w:rPr>
          <w:rFonts w:hint="eastAsia"/>
          <w:sz w:val="26"/>
          <w:szCs w:val="26"/>
        </w:rPr>
        <w:t>ą</w:t>
      </w:r>
      <w:r w:rsidRPr="000352DC">
        <w:rPr>
          <w:sz w:val="26"/>
          <w:szCs w:val="26"/>
        </w:rPr>
        <w:t>cego sporz</w:t>
      </w:r>
      <w:r w:rsidRPr="000352DC">
        <w:rPr>
          <w:rFonts w:hint="eastAsia"/>
          <w:sz w:val="26"/>
          <w:szCs w:val="26"/>
        </w:rPr>
        <w:t>ą</w:t>
      </w:r>
      <w:r w:rsidRPr="000352DC">
        <w:rPr>
          <w:sz w:val="26"/>
          <w:szCs w:val="26"/>
        </w:rPr>
        <w:t>dzony harmonogram realizacji bud</w:t>
      </w:r>
      <w:r w:rsidRPr="000352DC">
        <w:rPr>
          <w:rFonts w:hint="eastAsia"/>
          <w:sz w:val="26"/>
          <w:szCs w:val="26"/>
        </w:rPr>
        <w:t>ż</w:t>
      </w:r>
      <w:r w:rsidRPr="000352DC">
        <w:rPr>
          <w:sz w:val="26"/>
          <w:szCs w:val="26"/>
        </w:rPr>
        <w:t>etu</w:t>
      </w:r>
      <w:r w:rsidR="00DF7941" w:rsidRPr="000352DC">
        <w:rPr>
          <w:sz w:val="26"/>
          <w:szCs w:val="26"/>
        </w:rPr>
        <w:t>.</w:t>
      </w:r>
    </w:p>
    <w:p w:rsidR="0053166E" w:rsidRPr="000352DC" w:rsidRDefault="00174E85" w:rsidP="0053166E">
      <w:pPr>
        <w:pStyle w:val="Akapitzlist"/>
        <w:numPr>
          <w:ilvl w:val="0"/>
          <w:numId w:val="10"/>
        </w:numPr>
        <w:tabs>
          <w:tab w:val="left" w:pos="284"/>
        </w:tabs>
        <w:ind w:left="284" w:hanging="284"/>
        <w:jc w:val="both"/>
        <w:rPr>
          <w:sz w:val="26"/>
          <w:szCs w:val="26"/>
        </w:rPr>
      </w:pPr>
      <w:r w:rsidRPr="000352DC">
        <w:rPr>
          <w:sz w:val="26"/>
          <w:szCs w:val="26"/>
        </w:rPr>
        <w:t>Obowiązek dotrzymania terminów realizacji przyjętych w harmonogramie budżetu województwa zadań wiąże się z prawidłowym wykonywaniem zobowiązań jednostki samorządu terytorialnego oraz ma wpływ na zachowanie równowagi budżetowej.</w:t>
      </w:r>
    </w:p>
    <w:p w:rsidR="00125D89" w:rsidRPr="000352DC" w:rsidRDefault="00125D89" w:rsidP="0053166E">
      <w:pPr>
        <w:pStyle w:val="Akapitzlist"/>
        <w:numPr>
          <w:ilvl w:val="0"/>
          <w:numId w:val="10"/>
        </w:numPr>
        <w:tabs>
          <w:tab w:val="left" w:pos="284"/>
        </w:tabs>
        <w:ind w:left="284" w:hanging="284"/>
        <w:jc w:val="both"/>
        <w:rPr>
          <w:sz w:val="26"/>
          <w:szCs w:val="26"/>
        </w:rPr>
      </w:pPr>
      <w:r w:rsidRPr="000352DC">
        <w:rPr>
          <w:sz w:val="26"/>
          <w:szCs w:val="26"/>
        </w:rPr>
        <w:t xml:space="preserve">Harmonogramy dochodów i wydatków należy </w:t>
      </w:r>
      <w:r w:rsidRPr="000352DC">
        <w:rPr>
          <w:sz w:val="26"/>
          <w:szCs w:val="26"/>
          <w:u w:val="single"/>
        </w:rPr>
        <w:t>co miesiąc</w:t>
      </w:r>
      <w:r w:rsidRPr="000352DC">
        <w:rPr>
          <w:sz w:val="26"/>
          <w:szCs w:val="26"/>
        </w:rPr>
        <w:t xml:space="preserve"> </w:t>
      </w:r>
      <w:r w:rsidRPr="000352DC">
        <w:rPr>
          <w:sz w:val="26"/>
          <w:szCs w:val="26"/>
        </w:rPr>
        <w:br/>
        <w:t xml:space="preserve">przedkładać do Departamentu Budżetu i Finansów w wersji papierowej i w wersji </w:t>
      </w:r>
      <w:r w:rsidRPr="000352DC">
        <w:rPr>
          <w:spacing w:val="-6"/>
          <w:sz w:val="26"/>
          <w:szCs w:val="26"/>
        </w:rPr>
        <w:t xml:space="preserve">elektronicznej </w:t>
      </w:r>
      <w:r w:rsidR="009A2FE7" w:rsidRPr="000352DC">
        <w:rPr>
          <w:spacing w:val="-6"/>
          <w:sz w:val="26"/>
          <w:szCs w:val="26"/>
        </w:rPr>
        <w:t>na adres:</w:t>
      </w:r>
      <w:r w:rsidR="009A2FE7" w:rsidRPr="000352DC">
        <w:rPr>
          <w:spacing w:val="-6"/>
        </w:rPr>
        <w:t xml:space="preserve"> </w:t>
      </w:r>
      <w:hyperlink r:id="rId12" w:history="1">
        <w:r w:rsidR="009A2FE7" w:rsidRPr="000352DC">
          <w:rPr>
            <w:rStyle w:val="Hipercze"/>
            <w:spacing w:val="-6"/>
            <w:sz w:val="26"/>
            <w:szCs w:val="26"/>
          </w:rPr>
          <w:t>harmonogramybudzet@sejmik.kielce.pl</w:t>
        </w:r>
      </w:hyperlink>
      <w:r w:rsidR="009A2FE7" w:rsidRPr="000352DC">
        <w:rPr>
          <w:spacing w:val="-6"/>
          <w:sz w:val="26"/>
          <w:szCs w:val="26"/>
        </w:rPr>
        <w:t xml:space="preserve"> </w:t>
      </w:r>
      <w:r w:rsidRPr="000352DC">
        <w:rPr>
          <w:spacing w:val="-6"/>
          <w:sz w:val="26"/>
          <w:szCs w:val="26"/>
        </w:rPr>
        <w:t>w nieprzekraczalnym</w:t>
      </w:r>
      <w:r w:rsidRPr="000352DC">
        <w:rPr>
          <w:sz w:val="26"/>
          <w:szCs w:val="26"/>
        </w:rPr>
        <w:t xml:space="preserve"> terminie do 20 dnia każdego miesiąca(wg. stanu planu dochodów/wydatków na dzień 15 dnia miesiąca).</w:t>
      </w:r>
      <w:r w:rsidRPr="000352DC">
        <w:rPr>
          <w:b/>
          <w:sz w:val="26"/>
          <w:szCs w:val="26"/>
        </w:rPr>
        <w:t xml:space="preserve"> </w:t>
      </w:r>
      <w:r w:rsidRPr="000352DC">
        <w:rPr>
          <w:sz w:val="26"/>
          <w:szCs w:val="26"/>
        </w:rPr>
        <w:t>Tabele powinny być podpisane przez Dyrektora Departamentu/kierownika podległej jednostki budżetowej oraz osobę sporządzającą wraz z podaniem numeru telefonu kontaktowego.</w:t>
      </w:r>
    </w:p>
    <w:p w:rsidR="00125D89" w:rsidRPr="00EB0D8D" w:rsidRDefault="00125D89" w:rsidP="00125D89">
      <w:pPr>
        <w:pStyle w:val="Akapitzlist"/>
        <w:tabs>
          <w:tab w:val="left" w:pos="426"/>
        </w:tabs>
        <w:ind w:left="284"/>
        <w:jc w:val="both"/>
        <w:rPr>
          <w:sz w:val="26"/>
          <w:szCs w:val="26"/>
        </w:rPr>
      </w:pPr>
    </w:p>
    <w:p w:rsidR="00125D89" w:rsidRPr="00EB0D8D" w:rsidRDefault="00125D89" w:rsidP="00125D89">
      <w:pPr>
        <w:pStyle w:val="Akapitzlist"/>
        <w:numPr>
          <w:ilvl w:val="0"/>
          <w:numId w:val="5"/>
        </w:numPr>
        <w:tabs>
          <w:tab w:val="left" w:pos="142"/>
        </w:tabs>
        <w:ind w:left="142" w:hanging="426"/>
        <w:jc w:val="both"/>
        <w:rPr>
          <w:b/>
          <w:bCs/>
          <w:sz w:val="26"/>
          <w:szCs w:val="26"/>
        </w:rPr>
      </w:pPr>
      <w:r w:rsidRPr="00EB0D8D">
        <w:rPr>
          <w:b/>
          <w:bCs/>
          <w:sz w:val="26"/>
          <w:szCs w:val="26"/>
        </w:rPr>
        <w:t xml:space="preserve"> Sporządzanie rozliczeń zadań/przedsięwzięć realizowanych w ramach perspektywy finansowej na lata 2014-2020 z udziałem </w:t>
      </w:r>
      <w:r w:rsidRPr="00EB0D8D">
        <w:rPr>
          <w:b/>
          <w:sz w:val="26"/>
          <w:szCs w:val="26"/>
        </w:rPr>
        <w:t xml:space="preserve">środków, o których mowa w art. 5 ust. 1 pkt 2 i 3 ustawy o finansach publicznych </w:t>
      </w:r>
      <w:r w:rsidRPr="00EB0D8D">
        <w:rPr>
          <w:b/>
          <w:bCs/>
          <w:sz w:val="26"/>
          <w:szCs w:val="26"/>
        </w:rPr>
        <w:t>przez departamenty Urzędu Marszałkowskiego oraz podległe jednostki budżetowe</w:t>
      </w:r>
    </w:p>
    <w:p w:rsidR="00125D89" w:rsidRPr="00EB0D8D" w:rsidRDefault="00125D89" w:rsidP="00125D89">
      <w:pPr>
        <w:jc w:val="both"/>
        <w:rPr>
          <w:b/>
          <w:sz w:val="26"/>
          <w:szCs w:val="26"/>
        </w:rPr>
      </w:pPr>
    </w:p>
    <w:p w:rsidR="00125D89" w:rsidRPr="00EB0D8D" w:rsidRDefault="00125D89" w:rsidP="00125D89">
      <w:pPr>
        <w:pStyle w:val="Akapitzlist"/>
        <w:numPr>
          <w:ilvl w:val="0"/>
          <w:numId w:val="9"/>
        </w:numPr>
        <w:tabs>
          <w:tab w:val="left" w:pos="426"/>
        </w:tabs>
        <w:ind w:left="284" w:hanging="142"/>
        <w:jc w:val="both"/>
        <w:rPr>
          <w:sz w:val="26"/>
          <w:szCs w:val="26"/>
        </w:rPr>
      </w:pPr>
      <w:r w:rsidRPr="00EB0D8D">
        <w:rPr>
          <w:sz w:val="26"/>
          <w:szCs w:val="26"/>
        </w:rPr>
        <w:t>Rozliczenie zadań/przedsięwzięć realizowanych w ramach perspektywy finansowej na lata 2014-2020 sporządza się w postaci tabelarycznej, tj.</w:t>
      </w:r>
    </w:p>
    <w:p w:rsidR="00125D89" w:rsidRPr="00EB0D8D" w:rsidRDefault="00125D89" w:rsidP="00125D89">
      <w:pPr>
        <w:pStyle w:val="Akapitzlist"/>
        <w:numPr>
          <w:ilvl w:val="2"/>
          <w:numId w:val="7"/>
        </w:numPr>
        <w:ind w:left="709" w:hanging="283"/>
        <w:jc w:val="both"/>
        <w:rPr>
          <w:sz w:val="26"/>
          <w:szCs w:val="26"/>
        </w:rPr>
      </w:pPr>
      <w:r w:rsidRPr="00EB0D8D">
        <w:rPr>
          <w:sz w:val="26"/>
          <w:szCs w:val="26"/>
        </w:rPr>
        <w:t>Tabeli Nr 1, którą należy sporządzić w przypadku projektów własnych realizowanych przez departamenty Urzędu Marszałkowskiego i podległe jednostki budżetowe,</w:t>
      </w:r>
    </w:p>
    <w:p w:rsidR="00125D89" w:rsidRPr="00EB0D8D" w:rsidRDefault="00125D89" w:rsidP="00125D89">
      <w:pPr>
        <w:pStyle w:val="Akapitzlist"/>
        <w:numPr>
          <w:ilvl w:val="2"/>
          <w:numId w:val="7"/>
        </w:numPr>
        <w:ind w:left="709" w:hanging="283"/>
        <w:jc w:val="both"/>
        <w:rPr>
          <w:sz w:val="26"/>
          <w:szCs w:val="26"/>
        </w:rPr>
      </w:pPr>
      <w:r w:rsidRPr="00EB0D8D">
        <w:rPr>
          <w:sz w:val="26"/>
          <w:szCs w:val="26"/>
        </w:rPr>
        <w:t>Tabeli Nr 1a, którą należy sporządzić dodatkowo w przypadku projektów realizowanych w partnerstwie,</w:t>
      </w:r>
    </w:p>
    <w:p w:rsidR="00125D89" w:rsidRPr="00EB0D8D" w:rsidRDefault="00125D89" w:rsidP="00125D89">
      <w:pPr>
        <w:pStyle w:val="Akapitzlist"/>
        <w:numPr>
          <w:ilvl w:val="2"/>
          <w:numId w:val="7"/>
        </w:numPr>
        <w:ind w:left="709" w:hanging="283"/>
        <w:jc w:val="both"/>
        <w:rPr>
          <w:sz w:val="26"/>
          <w:szCs w:val="26"/>
        </w:rPr>
      </w:pPr>
      <w:r w:rsidRPr="00EB0D8D">
        <w:rPr>
          <w:sz w:val="26"/>
          <w:szCs w:val="26"/>
        </w:rPr>
        <w:t>Tabeli Nr 2, którą należy sporządzić w przypadku przedsięwzięć dotyczących wyłącznie współfinansowania krajowego dla beneficjentów tj. projektów realizowanych przez podmioty nie będące jednostkami organizacyjnymi Województwa.</w:t>
      </w:r>
    </w:p>
    <w:p w:rsidR="00125D89" w:rsidRPr="00EB0D8D" w:rsidRDefault="00125D89" w:rsidP="00125D89">
      <w:pPr>
        <w:ind w:left="426"/>
        <w:jc w:val="both"/>
        <w:rPr>
          <w:spacing w:val="-4"/>
          <w:sz w:val="26"/>
          <w:szCs w:val="26"/>
        </w:rPr>
      </w:pPr>
      <w:r w:rsidRPr="00EB0D8D">
        <w:rPr>
          <w:sz w:val="26"/>
          <w:szCs w:val="26"/>
        </w:rPr>
        <w:t xml:space="preserve">Powyższe tabele dostępne są do pobrania na stronie </w:t>
      </w:r>
      <w:hyperlink r:id="rId13" w:history="1">
        <w:r w:rsidRPr="00EB0D8D">
          <w:rPr>
            <w:spacing w:val="-4"/>
            <w:sz w:val="26"/>
            <w:szCs w:val="26"/>
            <w:u w:val="single"/>
          </w:rPr>
          <w:t>http://intranetumws.sejmik.kielce.pl/</w:t>
        </w:r>
      </w:hyperlink>
      <w:r w:rsidRPr="00EB0D8D">
        <w:rPr>
          <w:spacing w:val="-4"/>
          <w:sz w:val="26"/>
          <w:szCs w:val="26"/>
        </w:rPr>
        <w:t>.</w:t>
      </w:r>
    </w:p>
    <w:p w:rsidR="00125D89" w:rsidRPr="00EB0D8D" w:rsidRDefault="00125D89" w:rsidP="00125D89">
      <w:pPr>
        <w:pStyle w:val="Akapitzlist"/>
        <w:numPr>
          <w:ilvl w:val="0"/>
          <w:numId w:val="9"/>
        </w:numPr>
        <w:ind w:left="426" w:hanging="284"/>
        <w:jc w:val="both"/>
        <w:rPr>
          <w:sz w:val="26"/>
          <w:szCs w:val="26"/>
        </w:rPr>
      </w:pPr>
      <w:r w:rsidRPr="00EB0D8D">
        <w:rPr>
          <w:sz w:val="26"/>
          <w:szCs w:val="26"/>
        </w:rPr>
        <w:t xml:space="preserve">Tabele sporządza się odrębnie dla każdego zadania/przedsięwzięcia w sposób rzetelny, zgodnie z rozliczanymi wnioskami o płatność, ewidencją księgową i sprawozdawczością finansową projektu. </w:t>
      </w:r>
    </w:p>
    <w:p w:rsidR="00125D89" w:rsidRPr="00EB0D8D" w:rsidRDefault="00125D89" w:rsidP="00125D89">
      <w:pPr>
        <w:pStyle w:val="Akapitzlist"/>
        <w:numPr>
          <w:ilvl w:val="0"/>
          <w:numId w:val="9"/>
        </w:numPr>
        <w:ind w:left="426" w:hanging="284"/>
        <w:jc w:val="both"/>
        <w:rPr>
          <w:sz w:val="26"/>
          <w:szCs w:val="26"/>
        </w:rPr>
      </w:pPr>
      <w:r w:rsidRPr="00EB0D8D">
        <w:rPr>
          <w:sz w:val="26"/>
          <w:szCs w:val="26"/>
        </w:rPr>
        <w:t>Tabele należy sporządzać co miesiąc i przedkładać do Departamentu Budżetu i Finansów w wersji papierowej i elektronicznej w terminie do 20 dnia każdego miesiąca. Dane w tabelach należy wykazywać narastająco tj. od początku realizacji zadania/przedsięwzięcia do końca danego miesiąca.</w:t>
      </w:r>
    </w:p>
    <w:p w:rsidR="00125D89" w:rsidRPr="00EB0D8D" w:rsidRDefault="00125D89" w:rsidP="00125D89">
      <w:pPr>
        <w:pStyle w:val="Akapitzlist"/>
        <w:numPr>
          <w:ilvl w:val="0"/>
          <w:numId w:val="9"/>
        </w:numPr>
        <w:ind w:left="426" w:hanging="284"/>
        <w:jc w:val="both"/>
        <w:rPr>
          <w:sz w:val="26"/>
          <w:szCs w:val="26"/>
        </w:rPr>
      </w:pPr>
      <w:r w:rsidRPr="00EB0D8D">
        <w:rPr>
          <w:sz w:val="26"/>
          <w:szCs w:val="26"/>
        </w:rPr>
        <w:lastRenderedPageBreak/>
        <w:t>Tabele sporządza się od momentu podpisania umowy na realizację projektu współfinansowanego ze środków, o których mowa w art. 5 ust. 1 pkt 2 i 3 ustawy z dnia 27 sierpnia 2009 r. o finansach publicznych (</w:t>
      </w:r>
      <w:proofErr w:type="spellStart"/>
      <w:r w:rsidRPr="00EB0D8D">
        <w:rPr>
          <w:sz w:val="26"/>
          <w:szCs w:val="26"/>
        </w:rPr>
        <w:t>t.j</w:t>
      </w:r>
      <w:proofErr w:type="spellEnd"/>
      <w:r w:rsidRPr="00EB0D8D">
        <w:rPr>
          <w:sz w:val="26"/>
          <w:szCs w:val="26"/>
        </w:rPr>
        <w:t>. Dz. U. 201</w:t>
      </w:r>
      <w:r w:rsidR="00D7699D">
        <w:rPr>
          <w:sz w:val="26"/>
          <w:szCs w:val="26"/>
        </w:rPr>
        <w:t>9</w:t>
      </w:r>
      <w:r w:rsidRPr="00EB0D8D">
        <w:rPr>
          <w:sz w:val="26"/>
          <w:szCs w:val="26"/>
        </w:rPr>
        <w:t xml:space="preserve"> r., poz. </w:t>
      </w:r>
      <w:r w:rsidR="00D7699D">
        <w:rPr>
          <w:sz w:val="26"/>
          <w:szCs w:val="26"/>
        </w:rPr>
        <w:t>869</w:t>
      </w:r>
      <w:r w:rsidRPr="00EB0D8D">
        <w:rPr>
          <w:sz w:val="26"/>
          <w:szCs w:val="26"/>
        </w:rPr>
        <w:t xml:space="preserve">) </w:t>
      </w:r>
    </w:p>
    <w:p w:rsidR="00125D89" w:rsidRPr="00EB0D8D" w:rsidRDefault="00125D89" w:rsidP="00125D89">
      <w:pPr>
        <w:pStyle w:val="Akapitzlist"/>
        <w:numPr>
          <w:ilvl w:val="0"/>
          <w:numId w:val="9"/>
        </w:numPr>
        <w:tabs>
          <w:tab w:val="left" w:pos="426"/>
        </w:tabs>
        <w:ind w:left="426" w:hanging="284"/>
        <w:jc w:val="both"/>
        <w:rPr>
          <w:sz w:val="26"/>
          <w:szCs w:val="26"/>
        </w:rPr>
      </w:pPr>
      <w:r w:rsidRPr="00EB0D8D">
        <w:rPr>
          <w:sz w:val="26"/>
          <w:szCs w:val="26"/>
        </w:rPr>
        <w:t>Niezwłocznie po podpisaniu umów/</w:t>
      </w:r>
      <w:proofErr w:type="spellStart"/>
      <w:r w:rsidRPr="00EB0D8D">
        <w:rPr>
          <w:sz w:val="26"/>
          <w:szCs w:val="26"/>
        </w:rPr>
        <w:t>preumów</w:t>
      </w:r>
      <w:proofErr w:type="spellEnd"/>
      <w:r w:rsidRPr="00EB0D8D">
        <w:rPr>
          <w:sz w:val="26"/>
          <w:szCs w:val="26"/>
        </w:rPr>
        <w:t>/porozumień, aneksów, harmonogramów przekazywania transz czy wydatkowania środków i ich zmian, należy przesłać drogą elektroniczną ich skany do Departamentu Budżetu</w:t>
      </w:r>
      <w:r w:rsidRPr="00EB0D8D">
        <w:rPr>
          <w:sz w:val="26"/>
          <w:szCs w:val="26"/>
        </w:rPr>
        <w:br/>
        <w:t>i Finansów na adres:</w:t>
      </w:r>
      <w:r w:rsidRPr="00EB0D8D">
        <w:rPr>
          <w:spacing w:val="-14"/>
        </w:rPr>
        <w:t xml:space="preserve"> </w:t>
      </w:r>
      <w:hyperlink r:id="rId14" w:history="1">
        <w:r w:rsidRPr="00EB0D8D">
          <w:rPr>
            <w:rStyle w:val="Hipercze"/>
            <w:bCs/>
            <w:spacing w:val="-14"/>
            <w:sz w:val="26"/>
            <w:szCs w:val="26"/>
          </w:rPr>
          <w:t>Beata.Bak@sejmik.kielce.pl</w:t>
        </w:r>
      </w:hyperlink>
      <w:r w:rsidRPr="00EB0D8D">
        <w:rPr>
          <w:bCs/>
          <w:spacing w:val="-14"/>
          <w:sz w:val="26"/>
          <w:szCs w:val="26"/>
        </w:rPr>
        <w:t xml:space="preserve">; </w:t>
      </w:r>
      <w:hyperlink r:id="rId15" w:history="1">
        <w:r w:rsidRPr="00EB0D8D">
          <w:rPr>
            <w:rStyle w:val="Hipercze"/>
            <w:bCs/>
            <w:spacing w:val="-14"/>
            <w:sz w:val="26"/>
            <w:szCs w:val="26"/>
          </w:rPr>
          <w:t>Mariusz.Brzezinski@sejmik.kielce.pl</w:t>
        </w:r>
      </w:hyperlink>
      <w:r w:rsidR="00D82FAF">
        <w:rPr>
          <w:bCs/>
          <w:spacing w:val="-14"/>
          <w:sz w:val="26"/>
          <w:szCs w:val="26"/>
        </w:rPr>
        <w:t xml:space="preserve">, </w:t>
      </w:r>
      <w:hyperlink r:id="rId16" w:history="1">
        <w:r w:rsidR="00D82FAF" w:rsidRPr="00D82C56">
          <w:rPr>
            <w:rStyle w:val="Hipercze"/>
            <w:bCs/>
            <w:spacing w:val="-14"/>
            <w:sz w:val="26"/>
            <w:szCs w:val="26"/>
          </w:rPr>
          <w:t>Maja.Mazur@sejmik.kielce.pl</w:t>
        </w:r>
      </w:hyperlink>
      <w:r w:rsidR="00D82FAF">
        <w:rPr>
          <w:bCs/>
          <w:spacing w:val="-14"/>
          <w:sz w:val="26"/>
          <w:szCs w:val="26"/>
        </w:rPr>
        <w:t xml:space="preserve"> </w:t>
      </w:r>
      <w:r w:rsidRPr="00EB0D8D">
        <w:rPr>
          <w:bCs/>
          <w:spacing w:val="-14"/>
          <w:sz w:val="26"/>
          <w:szCs w:val="26"/>
        </w:rPr>
        <w:t xml:space="preserve">oraz </w:t>
      </w:r>
      <w:hyperlink r:id="rId17" w:history="1">
        <w:r w:rsidRPr="00EB0D8D">
          <w:rPr>
            <w:rStyle w:val="Hipercze"/>
            <w:bCs/>
            <w:spacing w:val="-14"/>
            <w:sz w:val="26"/>
            <w:szCs w:val="26"/>
          </w:rPr>
          <w:t>Malgorzata.Rajecka@sejmik.kielce.pl</w:t>
        </w:r>
      </w:hyperlink>
      <w:r w:rsidRPr="00EB0D8D">
        <w:rPr>
          <w:rStyle w:val="Hipercze"/>
          <w:bCs/>
          <w:spacing w:val="-14"/>
          <w:sz w:val="26"/>
          <w:szCs w:val="26"/>
        </w:rPr>
        <w:t>.</w:t>
      </w:r>
    </w:p>
    <w:sectPr w:rsidR="00125D89" w:rsidRPr="00EB0D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IDFont+F1">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4440D"/>
    <w:multiLevelType w:val="hybridMultilevel"/>
    <w:tmpl w:val="F0F2FC54"/>
    <w:lvl w:ilvl="0" w:tplc="9C5C16FA">
      <w:start w:val="1"/>
      <w:numFmt w:val="upperRoman"/>
      <w:lvlText w:val="%1."/>
      <w:lvlJc w:val="left"/>
      <w:pPr>
        <w:ind w:left="720" w:hanging="72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F466FD5"/>
    <w:multiLevelType w:val="hybridMultilevel"/>
    <w:tmpl w:val="849A829A"/>
    <w:lvl w:ilvl="0" w:tplc="8FB0F7DE">
      <w:start w:val="1"/>
      <w:numFmt w:val="decimal"/>
      <w:lvlText w:val="%1)"/>
      <w:lvlJc w:val="left"/>
      <w:pPr>
        <w:ind w:left="720" w:hanging="360"/>
      </w:pPr>
      <w:rPr>
        <w:rFonts w:ascii="Times New Roman" w:eastAsia="Times New Roman" w:hAnsi="Times New Roman" w:cs="Times New Roman"/>
      </w:rPr>
    </w:lvl>
    <w:lvl w:ilvl="1" w:tplc="67B0340C">
      <w:start w:val="1"/>
      <w:numFmt w:val="bullet"/>
      <w:lvlText w:val=""/>
      <w:lvlJc w:val="left"/>
      <w:pPr>
        <w:ind w:left="1212"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227B1164"/>
    <w:multiLevelType w:val="hybridMultilevel"/>
    <w:tmpl w:val="87CC1C1A"/>
    <w:lvl w:ilvl="0" w:tplc="8FB0F7DE">
      <w:start w:val="1"/>
      <w:numFmt w:val="decimal"/>
      <w:lvlText w:val="%1)"/>
      <w:lvlJc w:val="left"/>
      <w:pPr>
        <w:ind w:left="720" w:hanging="360"/>
      </w:pPr>
      <w:rPr>
        <w:rFonts w:ascii="Times New Roman" w:eastAsia="Times New Roman" w:hAnsi="Times New Roman" w:cs="Times New Roman"/>
      </w:rPr>
    </w:lvl>
    <w:lvl w:ilvl="1" w:tplc="41C6BA0A">
      <w:start w:val="1"/>
      <w:numFmt w:val="decimal"/>
      <w:lvlText w:val="%2)"/>
      <w:lvlJc w:val="left"/>
      <w:pPr>
        <w:ind w:left="1353" w:hanging="360"/>
      </w:pPr>
      <w:rPr>
        <w:rFonts w:ascii="Times New Roman" w:hAnsi="Times New Roman" w:cs="Times New Roman" w:hint="default"/>
      </w:rPr>
    </w:lvl>
    <w:lvl w:ilvl="2" w:tplc="3D74143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D6F2B7F"/>
    <w:multiLevelType w:val="hybridMultilevel"/>
    <w:tmpl w:val="C97298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4E456F"/>
    <w:multiLevelType w:val="hybridMultilevel"/>
    <w:tmpl w:val="894226FE"/>
    <w:lvl w:ilvl="0" w:tplc="65C25A80">
      <w:start w:val="1"/>
      <w:numFmt w:val="decimal"/>
      <w:lvlText w:val="%1."/>
      <w:lvlJc w:val="left"/>
      <w:pPr>
        <w:ind w:left="741" w:hanging="720"/>
      </w:pPr>
      <w:rPr>
        <w:rFonts w:ascii="Times New Roman" w:eastAsia="Times New Roman" w:hAnsi="Times New Roman" w:cs="Times New Roman"/>
      </w:rPr>
    </w:lvl>
    <w:lvl w:ilvl="1" w:tplc="04150019" w:tentative="1">
      <w:start w:val="1"/>
      <w:numFmt w:val="lowerLetter"/>
      <w:lvlText w:val="%2."/>
      <w:lvlJc w:val="left"/>
      <w:pPr>
        <w:ind w:left="1101" w:hanging="360"/>
      </w:pPr>
      <w:rPr>
        <w:rFonts w:cs="Times New Roman"/>
      </w:rPr>
    </w:lvl>
    <w:lvl w:ilvl="2" w:tplc="0415001B" w:tentative="1">
      <w:start w:val="1"/>
      <w:numFmt w:val="lowerRoman"/>
      <w:lvlText w:val="%3."/>
      <w:lvlJc w:val="right"/>
      <w:pPr>
        <w:ind w:left="1821" w:hanging="180"/>
      </w:pPr>
      <w:rPr>
        <w:rFonts w:cs="Times New Roman"/>
      </w:rPr>
    </w:lvl>
    <w:lvl w:ilvl="3" w:tplc="0415000F" w:tentative="1">
      <w:start w:val="1"/>
      <w:numFmt w:val="decimal"/>
      <w:lvlText w:val="%4."/>
      <w:lvlJc w:val="left"/>
      <w:pPr>
        <w:ind w:left="2541" w:hanging="360"/>
      </w:pPr>
      <w:rPr>
        <w:rFonts w:cs="Times New Roman"/>
      </w:rPr>
    </w:lvl>
    <w:lvl w:ilvl="4" w:tplc="04150019" w:tentative="1">
      <w:start w:val="1"/>
      <w:numFmt w:val="lowerLetter"/>
      <w:lvlText w:val="%5."/>
      <w:lvlJc w:val="left"/>
      <w:pPr>
        <w:ind w:left="3261" w:hanging="360"/>
      </w:pPr>
      <w:rPr>
        <w:rFonts w:cs="Times New Roman"/>
      </w:rPr>
    </w:lvl>
    <w:lvl w:ilvl="5" w:tplc="0415001B" w:tentative="1">
      <w:start w:val="1"/>
      <w:numFmt w:val="lowerRoman"/>
      <w:lvlText w:val="%6."/>
      <w:lvlJc w:val="right"/>
      <w:pPr>
        <w:ind w:left="3981" w:hanging="180"/>
      </w:pPr>
      <w:rPr>
        <w:rFonts w:cs="Times New Roman"/>
      </w:rPr>
    </w:lvl>
    <w:lvl w:ilvl="6" w:tplc="0415000F" w:tentative="1">
      <w:start w:val="1"/>
      <w:numFmt w:val="decimal"/>
      <w:lvlText w:val="%7."/>
      <w:lvlJc w:val="left"/>
      <w:pPr>
        <w:ind w:left="4701" w:hanging="360"/>
      </w:pPr>
      <w:rPr>
        <w:rFonts w:cs="Times New Roman"/>
      </w:rPr>
    </w:lvl>
    <w:lvl w:ilvl="7" w:tplc="04150019" w:tentative="1">
      <w:start w:val="1"/>
      <w:numFmt w:val="lowerLetter"/>
      <w:lvlText w:val="%8."/>
      <w:lvlJc w:val="left"/>
      <w:pPr>
        <w:ind w:left="5421" w:hanging="360"/>
      </w:pPr>
      <w:rPr>
        <w:rFonts w:cs="Times New Roman"/>
      </w:rPr>
    </w:lvl>
    <w:lvl w:ilvl="8" w:tplc="0415001B" w:tentative="1">
      <w:start w:val="1"/>
      <w:numFmt w:val="lowerRoman"/>
      <w:lvlText w:val="%9."/>
      <w:lvlJc w:val="right"/>
      <w:pPr>
        <w:ind w:left="6141" w:hanging="180"/>
      </w:pPr>
      <w:rPr>
        <w:rFonts w:cs="Times New Roman"/>
      </w:rPr>
    </w:lvl>
  </w:abstractNum>
  <w:abstractNum w:abstractNumId="5" w15:restartNumberingAfterBreak="0">
    <w:nsid w:val="4F163F6F"/>
    <w:multiLevelType w:val="hybridMultilevel"/>
    <w:tmpl w:val="EA8E0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40A54DA"/>
    <w:multiLevelType w:val="hybridMultilevel"/>
    <w:tmpl w:val="D9F07DAE"/>
    <w:lvl w:ilvl="0" w:tplc="04150011">
      <w:start w:val="1"/>
      <w:numFmt w:val="decimal"/>
      <w:lvlText w:val="%1)"/>
      <w:lvlJc w:val="left"/>
      <w:pPr>
        <w:ind w:left="1637"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572E4A08"/>
    <w:multiLevelType w:val="hybridMultilevel"/>
    <w:tmpl w:val="AF9EF166"/>
    <w:lvl w:ilvl="0" w:tplc="7F5EB36E">
      <w:start w:val="1"/>
      <w:numFmt w:val="decimal"/>
      <w:lvlText w:val="%1."/>
      <w:lvlJc w:val="left"/>
      <w:pPr>
        <w:ind w:left="720" w:hanging="360"/>
      </w:pPr>
      <w:rPr>
        <w:rFonts w:cs="Times New Roman"/>
        <w:color w:val="000000" w:themeColor="text1"/>
      </w:rPr>
    </w:lvl>
    <w:lvl w:ilvl="1" w:tplc="04150019">
      <w:start w:val="1"/>
      <w:numFmt w:val="lowerLetter"/>
      <w:lvlText w:val="%2."/>
      <w:lvlJc w:val="left"/>
      <w:pPr>
        <w:ind w:left="1440" w:hanging="360"/>
      </w:pPr>
      <w:rPr>
        <w:rFonts w:cs="Times New Roman"/>
      </w:rPr>
    </w:lvl>
    <w:lvl w:ilvl="2" w:tplc="780AA6C0">
      <w:start w:val="11"/>
      <w:numFmt w:val="decimal"/>
      <w:lvlText w:val="%3)"/>
      <w:lvlJc w:val="left"/>
      <w:pPr>
        <w:tabs>
          <w:tab w:val="num" w:pos="720"/>
        </w:tabs>
        <w:ind w:left="72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58AA2AF7"/>
    <w:multiLevelType w:val="hybridMultilevel"/>
    <w:tmpl w:val="8F9E1218"/>
    <w:lvl w:ilvl="0" w:tplc="04150011">
      <w:start w:val="1"/>
      <w:numFmt w:val="decimal"/>
      <w:lvlText w:val="%1)"/>
      <w:lvlJc w:val="left"/>
      <w:pPr>
        <w:ind w:left="1637"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61525B7C"/>
    <w:multiLevelType w:val="hybridMultilevel"/>
    <w:tmpl w:val="2DC68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C9199D"/>
    <w:multiLevelType w:val="hybridMultilevel"/>
    <w:tmpl w:val="2DC682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8C22B4"/>
    <w:multiLevelType w:val="hybridMultilevel"/>
    <w:tmpl w:val="3176D042"/>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798C3F25"/>
    <w:multiLevelType w:val="hybridMultilevel"/>
    <w:tmpl w:val="D18464A6"/>
    <w:lvl w:ilvl="0" w:tplc="04150011">
      <w:start w:val="1"/>
      <w:numFmt w:val="decimal"/>
      <w:lvlText w:val="%1)"/>
      <w:lvlJc w:val="left"/>
      <w:pPr>
        <w:ind w:left="1637"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7"/>
  </w:num>
  <w:num w:numId="2">
    <w:abstractNumId w:val="4"/>
  </w:num>
  <w:num w:numId="3">
    <w:abstractNumId w:val="1"/>
  </w:num>
  <w:num w:numId="4">
    <w:abstractNumId w:val="11"/>
  </w:num>
  <w:num w:numId="5">
    <w:abstractNumId w:val="0"/>
  </w:num>
  <w:num w:numId="6">
    <w:abstractNumId w:val="3"/>
  </w:num>
  <w:num w:numId="7">
    <w:abstractNumId w:val="2"/>
  </w:num>
  <w:num w:numId="8">
    <w:abstractNumId w:val="12"/>
  </w:num>
  <w:num w:numId="9">
    <w:abstractNumId w:val="5"/>
  </w:num>
  <w:num w:numId="10">
    <w:abstractNumId w:val="10"/>
  </w:num>
  <w:num w:numId="11">
    <w:abstractNumId w:val="8"/>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2DF6"/>
    <w:rsid w:val="00032C3A"/>
    <w:rsid w:val="000352DC"/>
    <w:rsid w:val="0003793C"/>
    <w:rsid w:val="000504F7"/>
    <w:rsid w:val="000F1858"/>
    <w:rsid w:val="00125D89"/>
    <w:rsid w:val="001370C3"/>
    <w:rsid w:val="001576E0"/>
    <w:rsid w:val="00174E85"/>
    <w:rsid w:val="001D5BEB"/>
    <w:rsid w:val="00246B6F"/>
    <w:rsid w:val="002813CC"/>
    <w:rsid w:val="002B581A"/>
    <w:rsid w:val="00322987"/>
    <w:rsid w:val="00345532"/>
    <w:rsid w:val="003455F8"/>
    <w:rsid w:val="0035702C"/>
    <w:rsid w:val="0037432B"/>
    <w:rsid w:val="0044158E"/>
    <w:rsid w:val="0047573D"/>
    <w:rsid w:val="004A43DB"/>
    <w:rsid w:val="004B454D"/>
    <w:rsid w:val="004C3DFA"/>
    <w:rsid w:val="004C743E"/>
    <w:rsid w:val="0053166E"/>
    <w:rsid w:val="00643CBC"/>
    <w:rsid w:val="00663EBF"/>
    <w:rsid w:val="006841C7"/>
    <w:rsid w:val="006E20FE"/>
    <w:rsid w:val="00720649"/>
    <w:rsid w:val="00771EDB"/>
    <w:rsid w:val="00777B24"/>
    <w:rsid w:val="00784D42"/>
    <w:rsid w:val="007D0B42"/>
    <w:rsid w:val="007F56F8"/>
    <w:rsid w:val="008A2026"/>
    <w:rsid w:val="008C356F"/>
    <w:rsid w:val="009810BC"/>
    <w:rsid w:val="009A2FE7"/>
    <w:rsid w:val="009F2DF6"/>
    <w:rsid w:val="00B479D8"/>
    <w:rsid w:val="00B93B04"/>
    <w:rsid w:val="00C5381A"/>
    <w:rsid w:val="00D06C38"/>
    <w:rsid w:val="00D07F24"/>
    <w:rsid w:val="00D17AEF"/>
    <w:rsid w:val="00D3399C"/>
    <w:rsid w:val="00D7699D"/>
    <w:rsid w:val="00D82FAF"/>
    <w:rsid w:val="00D91B74"/>
    <w:rsid w:val="00D927E6"/>
    <w:rsid w:val="00DC1617"/>
    <w:rsid w:val="00DC1FD3"/>
    <w:rsid w:val="00DF7941"/>
    <w:rsid w:val="00E10EDC"/>
    <w:rsid w:val="00E460FE"/>
    <w:rsid w:val="00E648BB"/>
    <w:rsid w:val="00E96309"/>
    <w:rsid w:val="00EA23BA"/>
    <w:rsid w:val="00EB6EAD"/>
    <w:rsid w:val="00EC7C92"/>
    <w:rsid w:val="00F46671"/>
    <w:rsid w:val="00FA20E6"/>
    <w:rsid w:val="00FA6E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4B12A"/>
  <w15:docId w15:val="{0C0B8E8D-A73F-4B8D-B11B-DF0456EBC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6C38"/>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D5BEB"/>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D07F24"/>
    <w:rPr>
      <w:rFonts w:ascii="Tahoma" w:hAnsi="Tahoma" w:cs="Tahoma"/>
      <w:sz w:val="16"/>
      <w:szCs w:val="16"/>
    </w:rPr>
  </w:style>
  <w:style w:type="character" w:customStyle="1" w:styleId="TekstdymkaZnak">
    <w:name w:val="Tekst dymka Znak"/>
    <w:basedOn w:val="Domylnaczcionkaakapitu"/>
    <w:link w:val="Tekstdymka"/>
    <w:uiPriority w:val="99"/>
    <w:semiHidden/>
    <w:rsid w:val="00D07F24"/>
    <w:rPr>
      <w:rFonts w:ascii="Tahoma" w:hAnsi="Tahoma" w:cs="Tahoma"/>
      <w:sz w:val="16"/>
      <w:szCs w:val="16"/>
    </w:rPr>
  </w:style>
  <w:style w:type="paragraph" w:customStyle="1" w:styleId="Akapitzlist1">
    <w:name w:val="Akapit z listą1"/>
    <w:basedOn w:val="Normalny"/>
    <w:qFormat/>
    <w:rsid w:val="00EA23BA"/>
    <w:pPr>
      <w:ind w:left="720"/>
      <w:contextualSpacing/>
    </w:pPr>
    <w:rPr>
      <w:rFonts w:ascii="Calibri" w:hAnsi="Calibri"/>
    </w:rPr>
  </w:style>
  <w:style w:type="paragraph" w:styleId="Akapitzlist">
    <w:name w:val="List Paragraph"/>
    <w:basedOn w:val="Normalny"/>
    <w:uiPriority w:val="34"/>
    <w:qFormat/>
    <w:rsid w:val="00777B24"/>
    <w:pPr>
      <w:ind w:left="720"/>
      <w:contextualSpacing/>
    </w:pPr>
  </w:style>
  <w:style w:type="character" w:styleId="Hipercze">
    <w:name w:val="Hyperlink"/>
    <w:uiPriority w:val="99"/>
    <w:rsid w:val="00E96309"/>
    <w:rPr>
      <w:rFonts w:cs="Times New Roman"/>
      <w:color w:val="0000FF"/>
      <w:u w:val="single"/>
    </w:rPr>
  </w:style>
  <w:style w:type="character" w:customStyle="1" w:styleId="Nierozpoznanawzmianka1">
    <w:name w:val="Nierozpoznana wzmianka1"/>
    <w:basedOn w:val="Domylnaczcionkaakapitu"/>
    <w:uiPriority w:val="99"/>
    <w:semiHidden/>
    <w:unhideWhenUsed/>
    <w:rsid w:val="00D82FAF"/>
    <w:rPr>
      <w:color w:val="605E5C"/>
      <w:shd w:val="clear" w:color="auto" w:fill="E1DFDD"/>
    </w:rPr>
  </w:style>
  <w:style w:type="character" w:styleId="Pogrubienie">
    <w:name w:val="Strong"/>
    <w:basedOn w:val="Domylnaczcionkaakapitu"/>
    <w:uiPriority w:val="22"/>
    <w:qFormat/>
    <w:rsid w:val="00FA6E01"/>
    <w:rPr>
      <w:b/>
      <w:bCs/>
    </w:rPr>
  </w:style>
  <w:style w:type="paragraph" w:customStyle="1" w:styleId="tresc">
    <w:name w:val="tresc"/>
    <w:basedOn w:val="Normalny"/>
    <w:rsid w:val="00FA6E01"/>
    <w:pPr>
      <w:spacing w:after="300"/>
    </w:pPr>
    <w:rPr>
      <w:rFonts w:ascii="inherit" w:hAnsi="inheri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191411">
      <w:bodyDiv w:val="1"/>
      <w:marLeft w:val="0"/>
      <w:marRight w:val="0"/>
      <w:marTop w:val="0"/>
      <w:marBottom w:val="0"/>
      <w:divBdr>
        <w:top w:val="none" w:sz="0" w:space="0" w:color="auto"/>
        <w:left w:val="none" w:sz="0" w:space="0" w:color="auto"/>
        <w:bottom w:val="none" w:sz="0" w:space="0" w:color="auto"/>
        <w:right w:val="none" w:sz="0" w:space="0" w:color="auto"/>
      </w:divBdr>
      <w:divsChild>
        <w:div w:id="1679498174">
          <w:marLeft w:val="0"/>
          <w:marRight w:val="0"/>
          <w:marTop w:val="0"/>
          <w:marBottom w:val="0"/>
          <w:divBdr>
            <w:top w:val="none" w:sz="0" w:space="0" w:color="auto"/>
            <w:left w:val="none" w:sz="0" w:space="0" w:color="auto"/>
            <w:bottom w:val="none" w:sz="0" w:space="0" w:color="auto"/>
            <w:right w:val="none" w:sz="0" w:space="0" w:color="auto"/>
          </w:divBdr>
          <w:divsChild>
            <w:div w:id="1566840376">
              <w:marLeft w:val="0"/>
              <w:marRight w:val="0"/>
              <w:marTop w:val="0"/>
              <w:marBottom w:val="0"/>
              <w:divBdr>
                <w:top w:val="none" w:sz="0" w:space="0" w:color="auto"/>
                <w:left w:val="none" w:sz="0" w:space="0" w:color="auto"/>
                <w:bottom w:val="none" w:sz="0" w:space="0" w:color="auto"/>
                <w:right w:val="none" w:sz="0" w:space="0" w:color="auto"/>
              </w:divBdr>
              <w:divsChild>
                <w:div w:id="901409829">
                  <w:marLeft w:val="0"/>
                  <w:marRight w:val="0"/>
                  <w:marTop w:val="0"/>
                  <w:marBottom w:val="0"/>
                  <w:divBdr>
                    <w:top w:val="none" w:sz="0" w:space="0" w:color="auto"/>
                    <w:left w:val="none" w:sz="0" w:space="0" w:color="auto"/>
                    <w:bottom w:val="none" w:sz="0" w:space="0" w:color="auto"/>
                    <w:right w:val="none" w:sz="0" w:space="0" w:color="auto"/>
                  </w:divBdr>
                  <w:divsChild>
                    <w:div w:id="894318777">
                      <w:marLeft w:val="0"/>
                      <w:marRight w:val="0"/>
                      <w:marTop w:val="0"/>
                      <w:marBottom w:val="0"/>
                      <w:divBdr>
                        <w:top w:val="none" w:sz="0" w:space="0" w:color="auto"/>
                        <w:left w:val="none" w:sz="0" w:space="0" w:color="auto"/>
                        <w:bottom w:val="none" w:sz="0" w:space="0" w:color="auto"/>
                        <w:right w:val="none" w:sz="0" w:space="0" w:color="auto"/>
                      </w:divBdr>
                      <w:divsChild>
                        <w:div w:id="245456737">
                          <w:marLeft w:val="-96"/>
                          <w:marRight w:val="-96"/>
                          <w:marTop w:val="0"/>
                          <w:marBottom w:val="0"/>
                          <w:divBdr>
                            <w:top w:val="none" w:sz="0" w:space="0" w:color="auto"/>
                            <w:left w:val="none" w:sz="0" w:space="0" w:color="auto"/>
                            <w:bottom w:val="none" w:sz="0" w:space="0" w:color="auto"/>
                            <w:right w:val="none" w:sz="0" w:space="0" w:color="auto"/>
                          </w:divBdr>
                          <w:divsChild>
                            <w:div w:id="190121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nowanie@sejmik.kielce.pl" TargetMode="External"/><Relationship Id="rId13" Type="http://schemas.openxmlformats.org/officeDocument/2006/relationships/hyperlink" Target="http://intranetumws.sejmik.kielc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Wnioski_WPF@sejmik.kielce.pl" TargetMode="External"/><Relationship Id="rId12" Type="http://schemas.openxmlformats.org/officeDocument/2006/relationships/hyperlink" Target="file:///C:\Users\malraj.SEJMIK\Desktop\HARMONOGRAMY\HARMONOGRAMY%202019\Pisma\harmonogramybudzet@sejmik.kielce.pl" TargetMode="External"/><Relationship Id="rId17" Type="http://schemas.openxmlformats.org/officeDocument/2006/relationships/hyperlink" Target="mailto:Malgorzata.Rajecka@sejmik.kielce.pl" TargetMode="External"/><Relationship Id="rId2" Type="http://schemas.openxmlformats.org/officeDocument/2006/relationships/numbering" Target="numbering.xml"/><Relationship Id="rId16" Type="http://schemas.openxmlformats.org/officeDocument/2006/relationships/hyperlink" Target="mailto:Maja.Mazur@sejmik.kielce.pl" TargetMode="External"/><Relationship Id="rId1" Type="http://schemas.openxmlformats.org/officeDocument/2006/relationships/customXml" Target="../customXml/item1.xml"/><Relationship Id="rId6" Type="http://schemas.openxmlformats.org/officeDocument/2006/relationships/hyperlink" Target="mailto:planowanie@sejmik.kielce.pl" TargetMode="External"/><Relationship Id="rId11" Type="http://schemas.openxmlformats.org/officeDocument/2006/relationships/hyperlink" Target="http://intranet.sejmik.kielce.pl/Dokumenty" TargetMode="External"/><Relationship Id="rId5" Type="http://schemas.openxmlformats.org/officeDocument/2006/relationships/webSettings" Target="webSettings.xml"/><Relationship Id="rId15" Type="http://schemas.openxmlformats.org/officeDocument/2006/relationships/hyperlink" Target="mailto:Mariusz.Brzezinski@sejmik.kielce.pl" TargetMode="External"/><Relationship Id="rId10" Type="http://schemas.openxmlformats.org/officeDocument/2006/relationships/hyperlink" Target="mailto:Wnioski_WPF@sejmik.kielc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Wnioski_WPF@sejmik.kielce.pl" TargetMode="External"/><Relationship Id="rId14" Type="http://schemas.openxmlformats.org/officeDocument/2006/relationships/hyperlink" Target="mailto:Beata.Bak@sejmik.kiel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7D20A-5497-479F-AC92-D19F9DBE9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13</Pages>
  <Words>4414</Words>
  <Characters>26486</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Michniewska-Lech, Beata</dc:creator>
  <cp:lastModifiedBy>Dulak, Anna</cp:lastModifiedBy>
  <cp:revision>22</cp:revision>
  <cp:lastPrinted>2019-06-27T09:31:00Z</cp:lastPrinted>
  <dcterms:created xsi:type="dcterms:W3CDTF">2019-06-26T10:26:00Z</dcterms:created>
  <dcterms:modified xsi:type="dcterms:W3CDTF">2019-07-09T08:11:00Z</dcterms:modified>
</cp:coreProperties>
</file>